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850E70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0CD8011E">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2689"/>
        <w:gridCol w:w="2571"/>
        <w:gridCol w:w="2662"/>
        <w:gridCol w:w="2571"/>
        <w:gridCol w:w="2662"/>
        <w:gridCol w:w="2539"/>
      </w:tblGrid>
      <w:tr w:rsidR="00C66DB8" w14:paraId="65258156" w14:textId="2BDF053C" w:rsidTr="008F0DF3">
        <w:tc>
          <w:tcPr>
            <w:tcW w:w="857" w:type="pct"/>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4F82ECEA" w:rsidR="00C66DB8" w:rsidRPr="008F0DF3" w:rsidRDefault="008F0DF3" w:rsidP="007B19C9">
            <w:pPr>
              <w:tabs>
                <w:tab w:val="left" w:pos="5580"/>
              </w:tabs>
              <w:spacing w:before="120" w:after="120" w:line="240" w:lineRule="auto"/>
              <w:rPr>
                <w:b/>
                <w:bCs/>
                <w:sz w:val="28"/>
                <w:szCs w:val="28"/>
              </w:rPr>
            </w:pPr>
            <w:r w:rsidRPr="008F0DF3">
              <w:rPr>
                <w:b/>
                <w:bCs/>
                <w:sz w:val="28"/>
                <w:szCs w:val="28"/>
              </w:rPr>
              <w:t>022RA</w:t>
            </w:r>
          </w:p>
        </w:tc>
      </w:tr>
      <w:tr w:rsidR="00C66DB8" w14:paraId="1580DF65" w14:textId="7F01BDFA" w:rsidTr="008F0DF3">
        <w:tc>
          <w:tcPr>
            <w:tcW w:w="857" w:type="pct"/>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3"/>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8F0DF3">
        <w:tc>
          <w:tcPr>
            <w:tcW w:w="857" w:type="pct"/>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3"/>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8F0DF3" w14:paraId="6448A00F" w14:textId="78ACE731" w:rsidTr="008F0DF3">
        <w:tc>
          <w:tcPr>
            <w:tcW w:w="2524" w:type="pct"/>
            <w:gridSpan w:val="3"/>
            <w:shd w:val="clear" w:color="auto" w:fill="D9D9D9" w:themeFill="background1" w:themeFillShade="D9"/>
          </w:tcPr>
          <w:p w14:paraId="4D8DDB50" w14:textId="66A11794"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3"/>
            <w:vAlign w:val="center"/>
          </w:tcPr>
          <w:p w14:paraId="3A81F023" w14:textId="77777777" w:rsidR="008F0DF3" w:rsidRDefault="008F0DF3" w:rsidP="008F0DF3">
            <w:pPr>
              <w:spacing w:before="40"/>
              <w:rPr>
                <w:b/>
              </w:rPr>
            </w:pPr>
            <w:r>
              <w:rPr>
                <w:b/>
              </w:rPr>
              <w:t>ASBESTOS REMOVAL</w:t>
            </w:r>
          </w:p>
          <w:p w14:paraId="6D5EAE10" w14:textId="25E64F00" w:rsidR="008F0DF3" w:rsidRPr="007B19C9" w:rsidRDefault="008F0DF3" w:rsidP="008F0DF3">
            <w:pPr>
              <w:tabs>
                <w:tab w:val="left" w:pos="5580"/>
              </w:tabs>
              <w:spacing w:before="120" w:after="120" w:line="240" w:lineRule="auto"/>
              <w:rPr>
                <w:sz w:val="20"/>
                <w:szCs w:val="20"/>
              </w:rPr>
            </w:pPr>
            <w:r w:rsidRPr="00181604">
              <w:rPr>
                <w:b/>
              </w:rPr>
              <w:t>Without a licence, a person is only permitted to remove10m² or less of non-friable asbestos-containing material (ACM)</w:t>
            </w:r>
          </w:p>
        </w:tc>
      </w:tr>
      <w:tr w:rsidR="008F0DF3" w14:paraId="1FAD83E4" w14:textId="32271938" w:rsidTr="008F0DF3">
        <w:tc>
          <w:tcPr>
            <w:tcW w:w="857" w:type="pct"/>
            <w:shd w:val="clear" w:color="auto" w:fill="D9D9D9" w:themeFill="background1" w:themeFillShade="D9"/>
          </w:tcPr>
          <w:p w14:paraId="07793256" w14:textId="6DBBD6C8"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tcPr>
          <w:p w14:paraId="4F8CC31D" w14:textId="66250474" w:rsidR="008F0DF3" w:rsidRPr="007B19C9" w:rsidRDefault="008F0DF3" w:rsidP="008F0DF3">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shd w:val="clear" w:color="auto" w:fill="D9D9D9" w:themeFill="background1" w:themeFillShade="D9"/>
          </w:tcPr>
          <w:p w14:paraId="58E5FA34" w14:textId="5A2BBA9B"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tcPr>
          <w:p w14:paraId="05EA620B" w14:textId="1F06809F"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8F0DF3" w:rsidRPr="007B19C9" w:rsidRDefault="008F0DF3" w:rsidP="008F0DF3">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F0DF3" w14:paraId="640040D5" w14:textId="79EB5480" w:rsidTr="00C66DB8">
        <w:tc>
          <w:tcPr>
            <w:tcW w:w="5000" w:type="pct"/>
            <w:gridSpan w:val="6"/>
          </w:tcPr>
          <w:p w14:paraId="60D199A5" w14:textId="49BA6146" w:rsidR="008F0DF3" w:rsidRPr="007B19C9" w:rsidRDefault="008F0DF3" w:rsidP="008F0DF3">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8F0DF3" w14:paraId="78B25079" w14:textId="5C817713" w:rsidTr="008F0DF3">
        <w:tc>
          <w:tcPr>
            <w:tcW w:w="1676" w:type="pct"/>
            <w:gridSpan w:val="2"/>
            <w:shd w:val="clear" w:color="auto" w:fill="EBFFB2" w:themeFill="accent3"/>
            <w:vAlign w:val="center"/>
          </w:tcPr>
          <w:p w14:paraId="111D0CCB" w14:textId="77777777" w:rsidR="008F0DF3" w:rsidRPr="007B19C9" w:rsidRDefault="008F0DF3" w:rsidP="008F0DF3">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8F0DF3" w:rsidRPr="007B19C9" w:rsidRDefault="008F0DF3" w:rsidP="008F0DF3">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67" w:type="pct"/>
            <w:gridSpan w:val="2"/>
            <w:shd w:val="clear" w:color="auto" w:fill="C9BEE0"/>
            <w:vAlign w:val="center"/>
          </w:tcPr>
          <w:p w14:paraId="2685127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657" w:type="pct"/>
            <w:gridSpan w:val="2"/>
            <w:shd w:val="clear" w:color="auto" w:fill="FFFAEC" w:themeFill="accent4"/>
          </w:tcPr>
          <w:p w14:paraId="5D82F6AF" w14:textId="77777777" w:rsidR="008F0DF3" w:rsidRPr="007B19C9" w:rsidRDefault="008F0DF3" w:rsidP="008F0DF3">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8F0DF3"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8F0DF3" w14:paraId="2BEE8E6A" w14:textId="452BF3CA" w:rsidTr="000B1111">
        <w:tc>
          <w:tcPr>
            <w:tcW w:w="1676" w:type="pct"/>
            <w:gridSpan w:val="2"/>
            <w:tcBorders>
              <w:top w:val="single" w:sz="6" w:space="0" w:color="000000"/>
              <w:left w:val="single" w:sz="12" w:space="0" w:color="000000"/>
              <w:bottom w:val="single" w:sz="6" w:space="0" w:color="000000"/>
              <w:right w:val="nil"/>
            </w:tcBorders>
            <w:shd w:val="clear" w:color="auto" w:fill="auto"/>
          </w:tcPr>
          <w:p w14:paraId="697BC2E7" w14:textId="77777777" w:rsidR="008F0DF3" w:rsidRPr="005F443A" w:rsidRDefault="008F0DF3" w:rsidP="00B92F0C">
            <w:pPr>
              <w:spacing w:before="120" w:after="120"/>
              <w:rPr>
                <w:b/>
                <w:sz w:val="20"/>
                <w:szCs w:val="20"/>
              </w:rPr>
            </w:pPr>
            <w:r w:rsidRPr="005F443A">
              <w:rPr>
                <w:b/>
                <w:sz w:val="20"/>
                <w:szCs w:val="20"/>
              </w:rPr>
              <w:t>Engaging Contractor</w:t>
            </w:r>
          </w:p>
          <w:p w14:paraId="2B40773D" w14:textId="4BF10889"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Lack of operator incompetency</w:t>
            </w:r>
          </w:p>
        </w:tc>
        <w:tc>
          <w:tcPr>
            <w:tcW w:w="1667" w:type="pct"/>
            <w:gridSpan w:val="2"/>
            <w:tcBorders>
              <w:top w:val="single" w:sz="6" w:space="0" w:color="000000"/>
              <w:left w:val="single" w:sz="6" w:space="0" w:color="000000"/>
              <w:bottom w:val="single" w:sz="6" w:space="0" w:color="000000"/>
              <w:right w:val="nil"/>
            </w:tcBorders>
            <w:shd w:val="clear" w:color="auto" w:fill="auto"/>
          </w:tcPr>
          <w:p w14:paraId="78E149D5" w14:textId="77777777" w:rsidR="008F0DF3" w:rsidRPr="005F443A" w:rsidRDefault="008F0DF3" w:rsidP="00B92F0C">
            <w:pPr>
              <w:pStyle w:val="ListParagraph"/>
              <w:numPr>
                <w:ilvl w:val="0"/>
                <w:numId w:val="13"/>
              </w:numPr>
              <w:spacing w:before="120" w:after="120" w:line="240" w:lineRule="auto"/>
              <w:contextualSpacing/>
              <w:rPr>
                <w:sz w:val="20"/>
                <w:szCs w:val="20"/>
              </w:rPr>
            </w:pPr>
            <w:r w:rsidRPr="005F443A">
              <w:rPr>
                <w:sz w:val="20"/>
                <w:szCs w:val="20"/>
              </w:rPr>
              <w:t>Not licenced to carry out work</w:t>
            </w:r>
          </w:p>
          <w:p w14:paraId="75DA56F4" w14:textId="77777777" w:rsidR="008F0DF3" w:rsidRPr="005F443A" w:rsidRDefault="008F0DF3" w:rsidP="00B92F0C">
            <w:pPr>
              <w:pStyle w:val="ListParagraph"/>
              <w:numPr>
                <w:ilvl w:val="0"/>
                <w:numId w:val="13"/>
              </w:numPr>
              <w:spacing w:before="120" w:after="120" w:line="240" w:lineRule="auto"/>
              <w:contextualSpacing/>
              <w:rPr>
                <w:sz w:val="20"/>
                <w:szCs w:val="20"/>
              </w:rPr>
            </w:pPr>
            <w:r w:rsidRPr="005F443A">
              <w:rPr>
                <w:sz w:val="20"/>
                <w:szCs w:val="20"/>
              </w:rPr>
              <w:t>Child protection issues</w:t>
            </w:r>
          </w:p>
          <w:p w14:paraId="0BCF0B55" w14:textId="5446C21B"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Work not done properly exposing people to asbestos</w:t>
            </w:r>
          </w:p>
        </w:tc>
        <w:tc>
          <w:tcPr>
            <w:tcW w:w="1657" w:type="pct"/>
            <w:gridSpan w:val="2"/>
            <w:tcBorders>
              <w:top w:val="single" w:sz="6" w:space="0" w:color="000000"/>
              <w:left w:val="single" w:sz="6" w:space="0" w:color="000000"/>
              <w:bottom w:val="single" w:sz="6" w:space="0" w:color="000000"/>
              <w:right w:val="single" w:sz="12" w:space="0" w:color="000000"/>
            </w:tcBorders>
            <w:shd w:val="clear" w:color="auto" w:fill="auto"/>
          </w:tcPr>
          <w:p w14:paraId="39915C34" w14:textId="77777777" w:rsidR="008F0DF3" w:rsidRPr="005F443A" w:rsidRDefault="008F0DF3" w:rsidP="00B92F0C">
            <w:pPr>
              <w:numPr>
                <w:ilvl w:val="0"/>
                <w:numId w:val="13"/>
              </w:numPr>
              <w:spacing w:before="120" w:after="120" w:line="240" w:lineRule="auto"/>
              <w:ind w:left="329" w:hanging="284"/>
              <w:rPr>
                <w:sz w:val="20"/>
                <w:szCs w:val="20"/>
              </w:rPr>
            </w:pPr>
            <w:r w:rsidRPr="005F443A">
              <w:rPr>
                <w:sz w:val="20"/>
                <w:szCs w:val="20"/>
              </w:rPr>
              <w:t>Contractor agreement to be developed for each company involved in the work.</w:t>
            </w:r>
          </w:p>
          <w:p w14:paraId="188AFAEE" w14:textId="77777777" w:rsidR="008F0DF3" w:rsidRPr="005F443A" w:rsidRDefault="008F0DF3" w:rsidP="00B92F0C">
            <w:pPr>
              <w:numPr>
                <w:ilvl w:val="0"/>
                <w:numId w:val="13"/>
              </w:numPr>
              <w:spacing w:before="120" w:after="120" w:line="240" w:lineRule="auto"/>
              <w:ind w:left="329" w:hanging="284"/>
              <w:rPr>
                <w:sz w:val="20"/>
                <w:szCs w:val="20"/>
              </w:rPr>
            </w:pPr>
            <w:r w:rsidRPr="005F443A">
              <w:rPr>
                <w:sz w:val="20"/>
                <w:szCs w:val="20"/>
              </w:rPr>
              <w:t>Contractor to be inducted prior to commencing work</w:t>
            </w:r>
          </w:p>
          <w:p w14:paraId="26C92D3E" w14:textId="77777777" w:rsidR="008F0DF3" w:rsidRPr="005F443A" w:rsidRDefault="008F0DF3" w:rsidP="00B92F0C">
            <w:pPr>
              <w:numPr>
                <w:ilvl w:val="0"/>
                <w:numId w:val="13"/>
              </w:numPr>
              <w:spacing w:before="120" w:after="120" w:line="240" w:lineRule="auto"/>
              <w:ind w:left="329" w:hanging="284"/>
              <w:rPr>
                <w:sz w:val="20"/>
                <w:szCs w:val="20"/>
              </w:rPr>
            </w:pPr>
            <w:r w:rsidRPr="005F443A">
              <w:rPr>
                <w:sz w:val="20"/>
                <w:szCs w:val="20"/>
              </w:rPr>
              <w:t>Worksite must obtain the following:</w:t>
            </w:r>
          </w:p>
          <w:p w14:paraId="0ED96085" w14:textId="77777777" w:rsidR="008F0DF3" w:rsidRPr="005F443A" w:rsidRDefault="008F0DF3" w:rsidP="00B92F0C">
            <w:pPr>
              <w:numPr>
                <w:ilvl w:val="0"/>
                <w:numId w:val="14"/>
              </w:numPr>
              <w:spacing w:before="120" w:after="120" w:line="240" w:lineRule="auto"/>
              <w:rPr>
                <w:sz w:val="20"/>
                <w:szCs w:val="20"/>
              </w:rPr>
            </w:pPr>
            <w:r w:rsidRPr="005F443A">
              <w:rPr>
                <w:sz w:val="20"/>
                <w:szCs w:val="20"/>
              </w:rPr>
              <w:t>Public Liability insurance</w:t>
            </w:r>
          </w:p>
          <w:p w14:paraId="44587C3F" w14:textId="1E272338" w:rsidR="008F0DF3" w:rsidRPr="005F443A" w:rsidRDefault="008F0DF3" w:rsidP="00B92F0C">
            <w:pPr>
              <w:numPr>
                <w:ilvl w:val="0"/>
                <w:numId w:val="14"/>
              </w:numPr>
              <w:spacing w:before="120" w:after="120" w:line="240" w:lineRule="auto"/>
              <w:rPr>
                <w:sz w:val="20"/>
                <w:szCs w:val="20"/>
              </w:rPr>
            </w:pPr>
            <w:r w:rsidRPr="005F443A">
              <w:rPr>
                <w:sz w:val="20"/>
                <w:szCs w:val="20"/>
              </w:rPr>
              <w:t xml:space="preserve">Workers compensation insurance (check are registered with SafeWork </w:t>
            </w:r>
            <w:r w:rsidR="00B92F0C" w:rsidRPr="005F443A">
              <w:rPr>
                <w:sz w:val="20"/>
                <w:szCs w:val="20"/>
              </w:rPr>
              <w:t>SA)</w:t>
            </w:r>
          </w:p>
          <w:p w14:paraId="11A363FE" w14:textId="77777777" w:rsidR="008F0DF3" w:rsidRPr="005F443A" w:rsidRDefault="008F0DF3" w:rsidP="00B92F0C">
            <w:pPr>
              <w:numPr>
                <w:ilvl w:val="0"/>
                <w:numId w:val="14"/>
              </w:numPr>
              <w:spacing w:before="120" w:after="120" w:line="240" w:lineRule="auto"/>
              <w:rPr>
                <w:sz w:val="20"/>
                <w:szCs w:val="20"/>
              </w:rPr>
            </w:pPr>
            <w:r w:rsidRPr="005F443A">
              <w:rPr>
                <w:sz w:val="20"/>
                <w:szCs w:val="20"/>
              </w:rPr>
              <w:t>Asbestos removal licence</w:t>
            </w:r>
          </w:p>
          <w:p w14:paraId="0ED2114E" w14:textId="756996D9" w:rsidR="008F0DF3" w:rsidRPr="005F443A" w:rsidRDefault="008F0DF3" w:rsidP="00B92F0C">
            <w:pPr>
              <w:numPr>
                <w:ilvl w:val="0"/>
                <w:numId w:val="14"/>
              </w:numPr>
              <w:spacing w:before="120" w:after="120" w:line="240" w:lineRule="auto"/>
              <w:rPr>
                <w:sz w:val="20"/>
                <w:szCs w:val="20"/>
              </w:rPr>
            </w:pPr>
            <w:r w:rsidRPr="005F443A">
              <w:rPr>
                <w:sz w:val="20"/>
                <w:szCs w:val="20"/>
              </w:rPr>
              <w:t>Police check (working with children check)</w:t>
            </w:r>
          </w:p>
        </w:tc>
      </w:tr>
    </w:tbl>
    <w:p w14:paraId="4523F9AE" w14:textId="77777777" w:rsidR="00B92F0C" w:rsidRDefault="00B92F0C">
      <w:r>
        <w:br w:type="page"/>
      </w:r>
    </w:p>
    <w:tbl>
      <w:tblPr>
        <w:tblStyle w:val="TableGrid"/>
        <w:tblW w:w="5006" w:type="pct"/>
        <w:tblInd w:w="-10" w:type="dxa"/>
        <w:tblLook w:val="04A0" w:firstRow="1" w:lastRow="0" w:firstColumn="1" w:lastColumn="0" w:noHBand="0" w:noVBand="1"/>
      </w:tblPr>
      <w:tblGrid>
        <w:gridCol w:w="1371"/>
        <w:gridCol w:w="1317"/>
        <w:gridCol w:w="1290"/>
        <w:gridCol w:w="1281"/>
        <w:gridCol w:w="1353"/>
        <w:gridCol w:w="1309"/>
        <w:gridCol w:w="1290"/>
        <w:gridCol w:w="1281"/>
        <w:gridCol w:w="5201"/>
      </w:tblGrid>
      <w:tr w:rsidR="008F0DF3" w14:paraId="47D86C89" w14:textId="6DFAB91F" w:rsidTr="00B92F0C">
        <w:tc>
          <w:tcPr>
            <w:tcW w:w="1676" w:type="pct"/>
            <w:gridSpan w:val="4"/>
            <w:tcBorders>
              <w:top w:val="single" w:sz="6" w:space="0" w:color="000000"/>
              <w:left w:val="single" w:sz="12" w:space="0" w:color="000000"/>
              <w:bottom w:val="single" w:sz="6" w:space="0" w:color="000000"/>
              <w:right w:val="nil"/>
            </w:tcBorders>
            <w:shd w:val="clear" w:color="auto" w:fill="auto"/>
          </w:tcPr>
          <w:p w14:paraId="1612A05E" w14:textId="5E7EE4FF" w:rsidR="008F0DF3" w:rsidRPr="005F443A" w:rsidRDefault="008F0DF3" w:rsidP="00B92F0C">
            <w:pPr>
              <w:spacing w:before="120" w:after="120"/>
              <w:rPr>
                <w:b/>
                <w:sz w:val="20"/>
                <w:szCs w:val="20"/>
              </w:rPr>
            </w:pPr>
            <w:r w:rsidRPr="005F443A">
              <w:rPr>
                <w:b/>
                <w:sz w:val="20"/>
                <w:szCs w:val="20"/>
              </w:rPr>
              <w:lastRenderedPageBreak/>
              <w:t>Hazardous Substance</w:t>
            </w:r>
          </w:p>
          <w:p w14:paraId="6A6CE942" w14:textId="639EE6B3"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Licence requirements for removing Asbestos</w:t>
            </w:r>
          </w:p>
        </w:tc>
        <w:tc>
          <w:tcPr>
            <w:tcW w:w="1667" w:type="pct"/>
            <w:gridSpan w:val="4"/>
            <w:tcBorders>
              <w:top w:val="single" w:sz="6" w:space="0" w:color="000000"/>
              <w:left w:val="single" w:sz="6" w:space="0" w:color="000000"/>
              <w:bottom w:val="single" w:sz="6" w:space="0" w:color="000000"/>
              <w:right w:val="nil"/>
            </w:tcBorders>
            <w:shd w:val="clear" w:color="auto" w:fill="auto"/>
          </w:tcPr>
          <w:p w14:paraId="6F3D6955" w14:textId="620555D7"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Workers / others exposed to ACM due to incorrect procedures.</w:t>
            </w:r>
          </w:p>
        </w:tc>
        <w:tc>
          <w:tcPr>
            <w:tcW w:w="1657" w:type="pct"/>
            <w:tcBorders>
              <w:top w:val="single" w:sz="6" w:space="0" w:color="000000"/>
              <w:left w:val="single" w:sz="6" w:space="0" w:color="000000"/>
              <w:bottom w:val="single" w:sz="6" w:space="0" w:color="000000"/>
              <w:right w:val="single" w:sz="12" w:space="0" w:color="000000"/>
            </w:tcBorders>
            <w:shd w:val="clear" w:color="auto" w:fill="auto"/>
          </w:tcPr>
          <w:p w14:paraId="01BAF9C4" w14:textId="77777777" w:rsidR="008F0DF3" w:rsidRPr="005F443A" w:rsidRDefault="008F0DF3" w:rsidP="00B92F0C">
            <w:pPr>
              <w:numPr>
                <w:ilvl w:val="0"/>
                <w:numId w:val="13"/>
              </w:numPr>
              <w:spacing w:before="120" w:after="120" w:line="240" w:lineRule="auto"/>
              <w:ind w:left="329" w:hanging="284"/>
              <w:rPr>
                <w:sz w:val="20"/>
                <w:szCs w:val="20"/>
              </w:rPr>
            </w:pPr>
            <w:r w:rsidRPr="005F443A">
              <w:rPr>
                <w:sz w:val="20"/>
                <w:szCs w:val="20"/>
              </w:rPr>
              <w:t>There are two types of asbestos removal licences: Class A and Class B. The type of licence required depends on the form and quantity of asbestos or ACM that is being removed at a workplace.</w:t>
            </w:r>
          </w:p>
          <w:p w14:paraId="7D0C93D0" w14:textId="77777777" w:rsidR="008F0DF3" w:rsidRPr="005F443A" w:rsidRDefault="008F0DF3" w:rsidP="00B92F0C">
            <w:pPr>
              <w:numPr>
                <w:ilvl w:val="0"/>
                <w:numId w:val="15"/>
              </w:numPr>
              <w:spacing w:before="120" w:after="120" w:line="240" w:lineRule="auto"/>
              <w:rPr>
                <w:sz w:val="20"/>
                <w:szCs w:val="20"/>
              </w:rPr>
            </w:pPr>
            <w:r w:rsidRPr="005F443A">
              <w:rPr>
                <w:sz w:val="20"/>
                <w:szCs w:val="20"/>
              </w:rPr>
              <w:t>Friable asbestos materials must be removed by a Class A asbestos removal licence holder.</w:t>
            </w:r>
          </w:p>
          <w:p w14:paraId="668F9AEF" w14:textId="77777777" w:rsidR="008F0DF3" w:rsidRPr="005F443A" w:rsidRDefault="008F0DF3" w:rsidP="00B92F0C">
            <w:pPr>
              <w:numPr>
                <w:ilvl w:val="0"/>
                <w:numId w:val="15"/>
              </w:numPr>
              <w:spacing w:before="120" w:after="120" w:line="240" w:lineRule="auto"/>
              <w:rPr>
                <w:sz w:val="20"/>
                <w:szCs w:val="20"/>
              </w:rPr>
            </w:pPr>
            <w:r w:rsidRPr="005F443A">
              <w:rPr>
                <w:sz w:val="20"/>
                <w:szCs w:val="20"/>
              </w:rPr>
              <w:t>A Class B licence holder can remove any amount of non-friable asbestos.</w:t>
            </w:r>
          </w:p>
          <w:p w14:paraId="21FED259" w14:textId="0FA4FA9B" w:rsidR="008F0DF3" w:rsidRPr="005F443A" w:rsidRDefault="008F0DF3" w:rsidP="00B92F0C">
            <w:pPr>
              <w:pStyle w:val="ListParagraph"/>
              <w:spacing w:before="120" w:after="120"/>
              <w:ind w:left="754" w:hanging="360"/>
              <w:rPr>
                <w:color w:val="0000FF"/>
                <w:sz w:val="20"/>
                <w:szCs w:val="20"/>
                <w:u w:val="single"/>
              </w:rPr>
            </w:pPr>
            <w:hyperlink r:id="rId8" w:history="1">
              <w:r w:rsidRPr="005F443A">
                <w:rPr>
                  <w:rStyle w:val="Hyperlink"/>
                  <w:sz w:val="20"/>
                  <w:szCs w:val="20"/>
                </w:rPr>
                <w:t>https://www.safework.sa.gov.au/licence-and-registration/licence-holder-registers</w:t>
              </w:r>
            </w:hyperlink>
          </w:p>
        </w:tc>
      </w:tr>
      <w:tr w:rsidR="008F0DF3" w14:paraId="5140D702" w14:textId="060F0BAD" w:rsidTr="00B92F0C">
        <w:tc>
          <w:tcPr>
            <w:tcW w:w="1676" w:type="pct"/>
            <w:gridSpan w:val="4"/>
            <w:tcBorders>
              <w:top w:val="single" w:sz="6" w:space="0" w:color="000000"/>
              <w:left w:val="single" w:sz="12" w:space="0" w:color="000000"/>
              <w:bottom w:val="single" w:sz="6" w:space="0" w:color="000000"/>
              <w:right w:val="nil"/>
            </w:tcBorders>
            <w:shd w:val="clear" w:color="auto" w:fill="auto"/>
          </w:tcPr>
          <w:p w14:paraId="2795EB04" w14:textId="77777777" w:rsidR="008F0DF3" w:rsidRPr="005F443A" w:rsidRDefault="008F0DF3" w:rsidP="00B92F0C">
            <w:pPr>
              <w:spacing w:before="120" w:after="120"/>
              <w:rPr>
                <w:sz w:val="20"/>
                <w:szCs w:val="20"/>
              </w:rPr>
            </w:pPr>
            <w:r w:rsidRPr="005F443A">
              <w:rPr>
                <w:b/>
                <w:sz w:val="20"/>
                <w:szCs w:val="20"/>
              </w:rPr>
              <w:t>Hazardous Substance</w:t>
            </w:r>
          </w:p>
          <w:p w14:paraId="265EA377" w14:textId="3D65C5DB"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Asbestos work in progress</w:t>
            </w:r>
          </w:p>
        </w:tc>
        <w:tc>
          <w:tcPr>
            <w:tcW w:w="1667" w:type="pct"/>
            <w:gridSpan w:val="4"/>
            <w:tcBorders>
              <w:top w:val="single" w:sz="6" w:space="0" w:color="000000"/>
              <w:left w:val="single" w:sz="6" w:space="0" w:color="000000"/>
              <w:bottom w:val="single" w:sz="6" w:space="0" w:color="000000"/>
              <w:right w:val="nil"/>
            </w:tcBorders>
            <w:shd w:val="clear" w:color="auto" w:fill="auto"/>
          </w:tcPr>
          <w:p w14:paraId="04642E64"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Asbestosis</w:t>
            </w:r>
          </w:p>
          <w:p w14:paraId="12545EEA"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Contaminated surface</w:t>
            </w:r>
          </w:p>
          <w:p w14:paraId="17B1CEC5" w14:textId="49C9ED68"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Anxiety</w:t>
            </w:r>
          </w:p>
        </w:tc>
        <w:tc>
          <w:tcPr>
            <w:tcW w:w="1657" w:type="pct"/>
            <w:tcBorders>
              <w:top w:val="single" w:sz="6" w:space="0" w:color="000000"/>
              <w:left w:val="single" w:sz="6" w:space="0" w:color="000000"/>
              <w:bottom w:val="single" w:sz="6" w:space="0" w:color="000000"/>
              <w:right w:val="single" w:sz="12" w:space="0" w:color="000000"/>
            </w:tcBorders>
            <w:shd w:val="clear" w:color="auto" w:fill="auto"/>
          </w:tcPr>
          <w:p w14:paraId="62A583AC"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Contractor to ensure appropriate signs are displayed alerting workers</w:t>
            </w:r>
          </w:p>
          <w:p w14:paraId="02B955F9"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Barricades are erected to delineate asbestos removal</w:t>
            </w:r>
          </w:p>
          <w:p w14:paraId="1B561A6F" w14:textId="1B23E7EF"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 xml:space="preserve">Consultation with all workers prior to work commencing </w:t>
            </w:r>
          </w:p>
        </w:tc>
      </w:tr>
      <w:tr w:rsidR="008F0DF3" w14:paraId="3469ADDB" w14:textId="476B1255" w:rsidTr="00B92F0C">
        <w:tc>
          <w:tcPr>
            <w:tcW w:w="1676" w:type="pct"/>
            <w:gridSpan w:val="4"/>
            <w:tcBorders>
              <w:top w:val="single" w:sz="6" w:space="0" w:color="000000"/>
              <w:left w:val="single" w:sz="12" w:space="0" w:color="000000"/>
              <w:bottom w:val="single" w:sz="6" w:space="0" w:color="000000"/>
              <w:right w:val="nil"/>
            </w:tcBorders>
            <w:shd w:val="clear" w:color="auto" w:fill="auto"/>
          </w:tcPr>
          <w:p w14:paraId="4B857153" w14:textId="77777777" w:rsidR="008F0DF3" w:rsidRPr="005F443A" w:rsidRDefault="008F0DF3" w:rsidP="00B92F0C">
            <w:pPr>
              <w:spacing w:before="120" w:after="120"/>
              <w:rPr>
                <w:sz w:val="20"/>
                <w:szCs w:val="20"/>
              </w:rPr>
            </w:pPr>
            <w:r w:rsidRPr="005F443A">
              <w:rPr>
                <w:sz w:val="20"/>
                <w:szCs w:val="20"/>
              </w:rPr>
              <w:t xml:space="preserve"> </w:t>
            </w:r>
            <w:r w:rsidRPr="005F443A">
              <w:rPr>
                <w:b/>
                <w:sz w:val="20"/>
                <w:szCs w:val="20"/>
              </w:rPr>
              <w:t>Hazardous Substance</w:t>
            </w:r>
          </w:p>
          <w:p w14:paraId="6045B00A" w14:textId="59596228"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Inappropriate air monitoring</w:t>
            </w:r>
          </w:p>
        </w:tc>
        <w:tc>
          <w:tcPr>
            <w:tcW w:w="1667" w:type="pct"/>
            <w:gridSpan w:val="4"/>
            <w:tcBorders>
              <w:top w:val="single" w:sz="6" w:space="0" w:color="000000"/>
              <w:left w:val="single" w:sz="6" w:space="0" w:color="000000"/>
              <w:bottom w:val="single" w:sz="6" w:space="0" w:color="000000"/>
              <w:right w:val="nil"/>
            </w:tcBorders>
            <w:shd w:val="clear" w:color="auto" w:fill="auto"/>
          </w:tcPr>
          <w:p w14:paraId="55176CAD"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Asbestosis</w:t>
            </w:r>
          </w:p>
          <w:p w14:paraId="7EB10202"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Contaminated surface</w:t>
            </w:r>
          </w:p>
          <w:p w14:paraId="6C7F67BE" w14:textId="67A70CC5"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Anxiety</w:t>
            </w:r>
          </w:p>
        </w:tc>
        <w:tc>
          <w:tcPr>
            <w:tcW w:w="1657" w:type="pct"/>
            <w:tcBorders>
              <w:top w:val="single" w:sz="6" w:space="0" w:color="000000"/>
              <w:left w:val="single" w:sz="6" w:space="0" w:color="000000"/>
              <w:bottom w:val="single" w:sz="6" w:space="0" w:color="000000"/>
              <w:right w:val="single" w:sz="12" w:space="0" w:color="000000"/>
            </w:tcBorders>
            <w:shd w:val="clear" w:color="auto" w:fill="auto"/>
          </w:tcPr>
          <w:p w14:paraId="0EA1E020"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Asbestos contractor is to ensure air monitoring is conducted throughout the removal work.</w:t>
            </w:r>
          </w:p>
          <w:p w14:paraId="731FD715"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At completion of the work, results of the air monitoring to be provided to the worksite for keeping on file.</w:t>
            </w:r>
          </w:p>
          <w:p w14:paraId="278B27F5"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Clearance certificate to be kept with the Asbestos Register</w:t>
            </w:r>
          </w:p>
          <w:p w14:paraId="6EBBC461" w14:textId="2088A810"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Contractor is to update the Asbestos Register.</w:t>
            </w:r>
          </w:p>
        </w:tc>
      </w:tr>
      <w:tr w:rsidR="008F0DF3" w14:paraId="542CBD1A" w14:textId="77777777" w:rsidTr="00B92F0C">
        <w:tc>
          <w:tcPr>
            <w:tcW w:w="1676" w:type="pct"/>
            <w:gridSpan w:val="4"/>
            <w:tcBorders>
              <w:top w:val="single" w:sz="6" w:space="0" w:color="000000"/>
              <w:left w:val="single" w:sz="12" w:space="0" w:color="000000"/>
              <w:bottom w:val="single" w:sz="6" w:space="0" w:color="000000"/>
              <w:right w:val="nil"/>
            </w:tcBorders>
            <w:shd w:val="clear" w:color="auto" w:fill="auto"/>
          </w:tcPr>
          <w:p w14:paraId="35A44149" w14:textId="77777777" w:rsidR="008F0DF3" w:rsidRPr="005F443A" w:rsidRDefault="008F0DF3" w:rsidP="00B92F0C">
            <w:pPr>
              <w:spacing w:before="120" w:after="120"/>
              <w:rPr>
                <w:sz w:val="20"/>
                <w:szCs w:val="20"/>
              </w:rPr>
            </w:pPr>
            <w:r w:rsidRPr="005F443A">
              <w:rPr>
                <w:b/>
                <w:sz w:val="20"/>
                <w:szCs w:val="20"/>
              </w:rPr>
              <w:t>Biological</w:t>
            </w:r>
          </w:p>
          <w:p w14:paraId="769B2B63" w14:textId="79694E54"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Inappropriate removal &amp; disposal of asbestos</w:t>
            </w:r>
          </w:p>
        </w:tc>
        <w:tc>
          <w:tcPr>
            <w:tcW w:w="1667" w:type="pct"/>
            <w:gridSpan w:val="4"/>
            <w:tcBorders>
              <w:top w:val="single" w:sz="6" w:space="0" w:color="000000"/>
              <w:left w:val="single" w:sz="6" w:space="0" w:color="000000"/>
              <w:bottom w:val="single" w:sz="6" w:space="0" w:color="000000"/>
              <w:right w:val="nil"/>
            </w:tcBorders>
            <w:shd w:val="clear" w:color="auto" w:fill="auto"/>
          </w:tcPr>
          <w:p w14:paraId="57EEF14A"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ACM is not disposed of correctly resulting in bad reputation to worksite</w:t>
            </w:r>
          </w:p>
          <w:p w14:paraId="39DC7B9D" w14:textId="04AB78A1"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Impact on environment</w:t>
            </w:r>
          </w:p>
        </w:tc>
        <w:tc>
          <w:tcPr>
            <w:tcW w:w="1657" w:type="pct"/>
            <w:tcBorders>
              <w:top w:val="single" w:sz="6" w:space="0" w:color="000000"/>
              <w:left w:val="single" w:sz="6" w:space="0" w:color="000000"/>
              <w:bottom w:val="single" w:sz="6" w:space="0" w:color="000000"/>
              <w:right w:val="single" w:sz="12" w:space="0" w:color="000000"/>
            </w:tcBorders>
            <w:shd w:val="clear" w:color="auto" w:fill="auto"/>
          </w:tcPr>
          <w:p w14:paraId="413F7CAC"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The person performing the removal work must have a system of work for containing and disposing of the asbestos waste, no matter how big or small the removal work is.</w:t>
            </w:r>
          </w:p>
          <w:p w14:paraId="3B9EB790"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lastRenderedPageBreak/>
              <w:t xml:space="preserve">Less than 10m2: Competent person can remove up to 10m2 of ACM (entire amount for a project).  Work must be completed in accordance with the Code of Practice for Asbestos Removal </w:t>
            </w:r>
          </w:p>
          <w:p w14:paraId="52F4EA6D"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Refer to SWP for working with Asbestos</w:t>
            </w:r>
          </w:p>
          <w:p w14:paraId="52076FA3" w14:textId="77777777" w:rsidR="008F0DF3" w:rsidRPr="005F443A" w:rsidRDefault="008F0DF3" w:rsidP="00B92F0C">
            <w:pPr>
              <w:pStyle w:val="ListParagraph"/>
              <w:spacing w:before="120" w:after="120"/>
              <w:rPr>
                <w:sz w:val="20"/>
                <w:szCs w:val="20"/>
              </w:rPr>
            </w:pPr>
            <w:r w:rsidRPr="005F443A">
              <w:rPr>
                <w:color w:val="FF0000"/>
                <w:sz w:val="20"/>
                <w:szCs w:val="20"/>
              </w:rPr>
              <w:t>More than 10m2 must be done by a licensed asbestos removalist (refer to SafeWork SA list – hyperlink above)</w:t>
            </w:r>
          </w:p>
          <w:p w14:paraId="3523A5D0"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Disposal of asbestos to be done in accordance with EPA guidelines.  Refer to SWP for Asbestos Disposal</w:t>
            </w:r>
          </w:p>
          <w:p w14:paraId="5A7EF93F" w14:textId="3B6CF76A" w:rsidR="008F0DF3" w:rsidRPr="005F443A" w:rsidRDefault="008F0DF3" w:rsidP="00B92F0C">
            <w:pPr>
              <w:pStyle w:val="ListParagraph"/>
              <w:spacing w:before="120" w:after="120"/>
              <w:rPr>
                <w:sz w:val="20"/>
                <w:szCs w:val="20"/>
              </w:rPr>
            </w:pPr>
            <w:hyperlink r:id="rId9" w:history="1">
              <w:r w:rsidRPr="005F443A">
                <w:rPr>
                  <w:color w:val="0000FF"/>
                  <w:sz w:val="20"/>
                  <w:szCs w:val="20"/>
                  <w:u w:val="single"/>
                </w:rPr>
                <w:t>https://www.asbestos.vic.gov.au/in-the-workplace/clean-up-and-disposal</w:t>
              </w:r>
            </w:hyperlink>
          </w:p>
        </w:tc>
      </w:tr>
      <w:tr w:rsidR="008F0DF3" w14:paraId="74A1A95A" w14:textId="77777777" w:rsidTr="00B92F0C">
        <w:tc>
          <w:tcPr>
            <w:tcW w:w="1676" w:type="pct"/>
            <w:gridSpan w:val="4"/>
            <w:tcBorders>
              <w:top w:val="single" w:sz="6" w:space="0" w:color="000000"/>
              <w:left w:val="single" w:sz="12" w:space="0" w:color="000000"/>
              <w:bottom w:val="single" w:sz="6" w:space="0" w:color="000000"/>
              <w:right w:val="nil"/>
            </w:tcBorders>
            <w:shd w:val="clear" w:color="auto" w:fill="auto"/>
          </w:tcPr>
          <w:p w14:paraId="0DF74A99" w14:textId="77777777" w:rsidR="008F0DF3" w:rsidRPr="005F443A" w:rsidRDefault="008F0DF3" w:rsidP="00B92F0C">
            <w:pPr>
              <w:spacing w:before="120" w:after="120"/>
              <w:rPr>
                <w:sz w:val="20"/>
                <w:szCs w:val="20"/>
              </w:rPr>
            </w:pPr>
            <w:r w:rsidRPr="005F443A">
              <w:rPr>
                <w:b/>
                <w:sz w:val="20"/>
                <w:szCs w:val="20"/>
              </w:rPr>
              <w:lastRenderedPageBreak/>
              <w:t>Other:</w:t>
            </w:r>
          </w:p>
          <w:p w14:paraId="364339A3" w14:textId="62F58CF2"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Communication / consultation</w:t>
            </w:r>
          </w:p>
        </w:tc>
        <w:tc>
          <w:tcPr>
            <w:tcW w:w="1667" w:type="pct"/>
            <w:gridSpan w:val="4"/>
            <w:tcBorders>
              <w:top w:val="single" w:sz="6" w:space="0" w:color="000000"/>
              <w:left w:val="single" w:sz="6" w:space="0" w:color="000000"/>
              <w:bottom w:val="single" w:sz="6" w:space="0" w:color="000000"/>
              <w:right w:val="nil"/>
            </w:tcBorders>
            <w:shd w:val="clear" w:color="auto" w:fill="auto"/>
          </w:tcPr>
          <w:p w14:paraId="012D170E"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Staff anxiety</w:t>
            </w:r>
          </w:p>
          <w:p w14:paraId="4C06E679" w14:textId="39DA2038"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Community concerned about potential exposure.</w:t>
            </w:r>
          </w:p>
        </w:tc>
        <w:tc>
          <w:tcPr>
            <w:tcW w:w="1657" w:type="pct"/>
            <w:tcBorders>
              <w:top w:val="single" w:sz="6" w:space="0" w:color="000000"/>
              <w:left w:val="single" w:sz="6" w:space="0" w:color="000000"/>
              <w:bottom w:val="single" w:sz="6" w:space="0" w:color="000000"/>
              <w:right w:val="single" w:sz="12" w:space="0" w:color="000000"/>
            </w:tcBorders>
            <w:shd w:val="clear" w:color="auto" w:fill="auto"/>
          </w:tcPr>
          <w:p w14:paraId="0012DDAA"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 xml:space="preserve">Workers and others to be informed of the asbestos removal before it occurs.  </w:t>
            </w:r>
          </w:p>
          <w:p w14:paraId="6ECE6F1D" w14:textId="77777777" w:rsidR="008F0DF3" w:rsidRPr="005F443A" w:rsidRDefault="008F0DF3" w:rsidP="00B92F0C">
            <w:pPr>
              <w:numPr>
                <w:ilvl w:val="0"/>
                <w:numId w:val="16"/>
              </w:numPr>
              <w:spacing w:before="120" w:after="120" w:line="240" w:lineRule="auto"/>
              <w:rPr>
                <w:sz w:val="20"/>
                <w:szCs w:val="20"/>
              </w:rPr>
            </w:pPr>
            <w:r w:rsidRPr="005F443A">
              <w:rPr>
                <w:sz w:val="20"/>
                <w:szCs w:val="20"/>
              </w:rPr>
              <w:t>Worksite and Contractor to go through the planned works to identify any specific issues and ensure appropriate controls implemented (e.g. within school environment, works can be done in school holidays, weekends or afterhours if the area cannot be cordoned off etc.).</w:t>
            </w:r>
          </w:p>
          <w:p w14:paraId="3FC49C01" w14:textId="008999C3"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 xml:space="preserve">Worksite Manager / Officer and Asbestos Removal Contractor to determine who will notify immediate neighbours (businesses and residence) of the planned works. </w:t>
            </w:r>
          </w:p>
        </w:tc>
      </w:tr>
      <w:tr w:rsidR="008F0DF3" w14:paraId="1FA485F7" w14:textId="77777777" w:rsidTr="00B92F0C">
        <w:tc>
          <w:tcPr>
            <w:tcW w:w="1676" w:type="pct"/>
            <w:gridSpan w:val="4"/>
            <w:tcBorders>
              <w:top w:val="single" w:sz="6" w:space="0" w:color="000000"/>
              <w:left w:val="single" w:sz="12" w:space="0" w:color="000000"/>
              <w:bottom w:val="single" w:sz="6" w:space="0" w:color="000000"/>
              <w:right w:val="nil"/>
            </w:tcBorders>
            <w:shd w:val="clear" w:color="auto" w:fill="auto"/>
          </w:tcPr>
          <w:p w14:paraId="39DC7015" w14:textId="77777777" w:rsidR="008F0DF3" w:rsidRPr="005F443A" w:rsidRDefault="008F0DF3" w:rsidP="00B92F0C">
            <w:pPr>
              <w:spacing w:before="120" w:after="120"/>
              <w:rPr>
                <w:b/>
                <w:sz w:val="20"/>
                <w:szCs w:val="20"/>
              </w:rPr>
            </w:pPr>
            <w:r w:rsidRPr="005F443A">
              <w:rPr>
                <w:b/>
                <w:sz w:val="20"/>
                <w:szCs w:val="20"/>
              </w:rPr>
              <w:t>Other:</w:t>
            </w:r>
          </w:p>
          <w:p w14:paraId="693DB8FF" w14:textId="58C4AFD8"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Planning &amp; Documentation to be available on site</w:t>
            </w:r>
          </w:p>
        </w:tc>
        <w:tc>
          <w:tcPr>
            <w:tcW w:w="1667" w:type="pct"/>
            <w:gridSpan w:val="4"/>
            <w:tcBorders>
              <w:top w:val="single" w:sz="6" w:space="0" w:color="000000"/>
              <w:left w:val="single" w:sz="6" w:space="0" w:color="000000"/>
              <w:bottom w:val="single" w:sz="6" w:space="0" w:color="000000"/>
              <w:right w:val="nil"/>
            </w:tcBorders>
            <w:shd w:val="clear" w:color="auto" w:fill="auto"/>
          </w:tcPr>
          <w:p w14:paraId="0C9ACB16" w14:textId="77777777" w:rsidR="008F0DF3" w:rsidRPr="005F443A" w:rsidRDefault="008F0DF3" w:rsidP="00B92F0C">
            <w:pPr>
              <w:pStyle w:val="ListParagraph"/>
              <w:numPr>
                <w:ilvl w:val="0"/>
                <w:numId w:val="16"/>
              </w:numPr>
              <w:spacing w:before="120" w:after="120" w:line="240" w:lineRule="auto"/>
              <w:contextualSpacing/>
              <w:rPr>
                <w:sz w:val="20"/>
                <w:szCs w:val="20"/>
              </w:rPr>
            </w:pPr>
            <w:r w:rsidRPr="005F443A">
              <w:rPr>
                <w:sz w:val="20"/>
                <w:szCs w:val="20"/>
              </w:rPr>
              <w:t>Staff anxiety</w:t>
            </w:r>
          </w:p>
          <w:p w14:paraId="7FEF0C96" w14:textId="296DC7C3"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t>Community concerned about potential exposure.</w:t>
            </w:r>
          </w:p>
        </w:tc>
        <w:tc>
          <w:tcPr>
            <w:tcW w:w="1657" w:type="pct"/>
            <w:tcBorders>
              <w:top w:val="single" w:sz="6" w:space="0" w:color="000000"/>
              <w:left w:val="single" w:sz="6" w:space="0" w:color="000000"/>
              <w:bottom w:val="single" w:sz="6" w:space="0" w:color="000000"/>
              <w:right w:val="single" w:sz="12" w:space="0" w:color="000000"/>
            </w:tcBorders>
            <w:shd w:val="clear" w:color="auto" w:fill="auto"/>
          </w:tcPr>
          <w:p w14:paraId="7395433A" w14:textId="77777777" w:rsidR="008F0DF3" w:rsidRPr="005F443A" w:rsidRDefault="008F0DF3" w:rsidP="00B92F0C">
            <w:pPr>
              <w:numPr>
                <w:ilvl w:val="0"/>
                <w:numId w:val="16"/>
              </w:numPr>
              <w:autoSpaceDE w:val="0"/>
              <w:autoSpaceDN w:val="0"/>
              <w:adjustRightInd w:val="0"/>
              <w:spacing w:before="120" w:after="120" w:line="240" w:lineRule="auto"/>
              <w:rPr>
                <w:sz w:val="20"/>
                <w:szCs w:val="20"/>
              </w:rPr>
            </w:pPr>
            <w:r w:rsidRPr="005F443A">
              <w:rPr>
                <w:sz w:val="20"/>
                <w:szCs w:val="20"/>
              </w:rPr>
              <w:t>The licensed removalist must ensure the following documentation is available at the removal site:</w:t>
            </w:r>
          </w:p>
          <w:p w14:paraId="4040FB89" w14:textId="77777777" w:rsidR="008F0DF3" w:rsidRPr="005F443A" w:rsidRDefault="008F0DF3" w:rsidP="00B92F0C">
            <w:pPr>
              <w:numPr>
                <w:ilvl w:val="1"/>
                <w:numId w:val="16"/>
              </w:numPr>
              <w:autoSpaceDE w:val="0"/>
              <w:autoSpaceDN w:val="0"/>
              <w:adjustRightInd w:val="0"/>
              <w:spacing w:before="120" w:after="120" w:line="240" w:lineRule="auto"/>
              <w:rPr>
                <w:sz w:val="20"/>
                <w:szCs w:val="20"/>
              </w:rPr>
            </w:pPr>
            <w:r w:rsidRPr="005F443A">
              <w:rPr>
                <w:sz w:val="20"/>
                <w:szCs w:val="20"/>
              </w:rPr>
              <w:t>a copy of the removalist’s licence</w:t>
            </w:r>
          </w:p>
          <w:p w14:paraId="17FE8D2A" w14:textId="77777777" w:rsidR="008F0DF3" w:rsidRPr="005F443A" w:rsidRDefault="008F0DF3" w:rsidP="00B92F0C">
            <w:pPr>
              <w:numPr>
                <w:ilvl w:val="1"/>
                <w:numId w:val="16"/>
              </w:numPr>
              <w:autoSpaceDE w:val="0"/>
              <w:autoSpaceDN w:val="0"/>
              <w:adjustRightInd w:val="0"/>
              <w:spacing w:before="120" w:after="120" w:line="240" w:lineRule="auto"/>
              <w:rPr>
                <w:sz w:val="20"/>
                <w:szCs w:val="20"/>
              </w:rPr>
            </w:pPr>
            <w:r w:rsidRPr="005F443A">
              <w:rPr>
                <w:sz w:val="20"/>
                <w:szCs w:val="20"/>
              </w:rPr>
              <w:t>the training records of employees for the safe removal of asbestos</w:t>
            </w:r>
          </w:p>
          <w:p w14:paraId="3D343C63" w14:textId="2ED97A6C" w:rsidR="008F0DF3" w:rsidRPr="00B92F0C" w:rsidRDefault="008F0DF3" w:rsidP="00B92F0C">
            <w:pPr>
              <w:numPr>
                <w:ilvl w:val="1"/>
                <w:numId w:val="16"/>
              </w:numPr>
              <w:autoSpaceDE w:val="0"/>
              <w:autoSpaceDN w:val="0"/>
              <w:adjustRightInd w:val="0"/>
              <w:spacing w:before="120" w:after="120" w:line="240" w:lineRule="auto"/>
              <w:rPr>
                <w:sz w:val="20"/>
                <w:szCs w:val="20"/>
              </w:rPr>
            </w:pPr>
            <w:r w:rsidRPr="005F443A">
              <w:rPr>
                <w:sz w:val="20"/>
                <w:szCs w:val="20"/>
              </w:rPr>
              <w:t>a site-specific control plan.</w:t>
            </w:r>
          </w:p>
          <w:p w14:paraId="10C2E3A9" w14:textId="17FD8553" w:rsidR="008F0DF3" w:rsidRPr="005F443A" w:rsidRDefault="008F0DF3" w:rsidP="00B92F0C">
            <w:pPr>
              <w:pStyle w:val="ListParagraph"/>
              <w:numPr>
                <w:ilvl w:val="0"/>
                <w:numId w:val="11"/>
              </w:numPr>
              <w:tabs>
                <w:tab w:val="left" w:pos="5580"/>
              </w:tabs>
              <w:spacing w:before="120" w:after="120" w:line="240" w:lineRule="auto"/>
            </w:pPr>
            <w:r w:rsidRPr="005F443A">
              <w:rPr>
                <w:sz w:val="20"/>
                <w:szCs w:val="20"/>
              </w:rPr>
              <w:lastRenderedPageBreak/>
              <w:t>NB:  Contractor to ensure a copy of the notification form sent to SafeWork SA is also available at the removal site. May be useful in clarifying any issues that may arise. (Contractor to notify SafeWork SA of asbestos removal at least 5 days before work commences)</w:t>
            </w:r>
          </w:p>
        </w:tc>
      </w:tr>
      <w:tr w:rsidR="008F0DF3" w14:paraId="3B5AAD2E" w14:textId="4AEDFD37" w:rsidTr="00B92F0C">
        <w:tc>
          <w:tcPr>
            <w:tcW w:w="5000" w:type="pct"/>
            <w:gridSpan w:val="9"/>
          </w:tcPr>
          <w:p w14:paraId="03ADBDE5" w14:textId="77D6482F" w:rsidR="008F0DF3" w:rsidRPr="007B19C9" w:rsidRDefault="008F0DF3" w:rsidP="008F0DF3">
            <w:pPr>
              <w:tabs>
                <w:tab w:val="left" w:pos="5580"/>
              </w:tabs>
              <w:spacing w:before="120" w:after="120" w:line="240" w:lineRule="auto"/>
              <w:jc w:val="center"/>
              <w:rPr>
                <w:b/>
                <w:bCs/>
              </w:rPr>
            </w:pPr>
            <w:r w:rsidRPr="007B19C9">
              <w:rPr>
                <w:b/>
                <w:bCs/>
              </w:rPr>
              <w:lastRenderedPageBreak/>
              <w:t>Review hazard / risk assessment if task or circumstances change &amp; at intervals appropriate to the level of risk (minimum 5 years)</w:t>
            </w:r>
          </w:p>
        </w:tc>
      </w:tr>
      <w:tr w:rsidR="008F0DF3" w14:paraId="521A4A5C" w14:textId="61CFA856" w:rsidTr="00B92F0C">
        <w:tc>
          <w:tcPr>
            <w:tcW w:w="5000" w:type="pct"/>
            <w:gridSpan w:val="9"/>
            <w:shd w:val="clear" w:color="auto" w:fill="533E7C" w:themeFill="accent1"/>
          </w:tcPr>
          <w:p w14:paraId="764BB98D" w14:textId="5A05FC45" w:rsidR="008F0DF3" w:rsidRPr="007B4415" w:rsidRDefault="008F0DF3" w:rsidP="008F0DF3">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8F0DF3" w14:paraId="6874C08C" w14:textId="38E0C46C" w:rsidTr="00B92F0C">
        <w:tc>
          <w:tcPr>
            <w:tcW w:w="1676" w:type="pct"/>
            <w:gridSpan w:val="4"/>
            <w:shd w:val="clear" w:color="auto" w:fill="D9D9D9" w:themeFill="background1" w:themeFillShade="D9"/>
            <w:vAlign w:val="center"/>
          </w:tcPr>
          <w:p w14:paraId="455B124D" w14:textId="03F6D22E" w:rsidR="008F0DF3" w:rsidRDefault="008F0DF3" w:rsidP="008F0DF3">
            <w:pPr>
              <w:tabs>
                <w:tab w:val="left" w:pos="5580"/>
              </w:tabs>
              <w:spacing w:before="120" w:after="120" w:line="240" w:lineRule="auto"/>
              <w:jc w:val="center"/>
            </w:pPr>
            <w:r>
              <w:t>Were the controls effective?</w:t>
            </w:r>
          </w:p>
        </w:tc>
        <w:tc>
          <w:tcPr>
            <w:tcW w:w="1667" w:type="pct"/>
            <w:gridSpan w:val="4"/>
            <w:shd w:val="clear" w:color="auto" w:fill="D9D9D9" w:themeFill="background1" w:themeFillShade="D9"/>
            <w:vAlign w:val="center"/>
          </w:tcPr>
          <w:p w14:paraId="3251018B" w14:textId="1F6DFCAB" w:rsidR="008F0DF3" w:rsidRDefault="008F0DF3" w:rsidP="008F0DF3">
            <w:pPr>
              <w:tabs>
                <w:tab w:val="left" w:pos="5580"/>
              </w:tabs>
              <w:spacing w:before="120" w:after="120" w:line="240" w:lineRule="auto"/>
              <w:jc w:val="center"/>
            </w:pPr>
            <w:r>
              <w:t>Were there any unforeseen hazards / incidents?</w:t>
            </w:r>
          </w:p>
        </w:tc>
        <w:tc>
          <w:tcPr>
            <w:tcW w:w="1657" w:type="pct"/>
            <w:vMerge w:val="restart"/>
            <w:shd w:val="clear" w:color="auto" w:fill="D9D9D9" w:themeFill="background1" w:themeFillShade="D9"/>
            <w:vAlign w:val="center"/>
          </w:tcPr>
          <w:p w14:paraId="035B811C" w14:textId="78D5DBBF" w:rsidR="008F0DF3" w:rsidRDefault="008F0DF3" w:rsidP="008F0DF3">
            <w:pPr>
              <w:tabs>
                <w:tab w:val="left" w:pos="5580"/>
              </w:tabs>
              <w:spacing w:before="120" w:after="120" w:line="240" w:lineRule="auto"/>
              <w:jc w:val="center"/>
            </w:pPr>
            <w:r>
              <w:t>New controls</w:t>
            </w:r>
          </w:p>
        </w:tc>
      </w:tr>
      <w:tr w:rsidR="008F0DF3" w14:paraId="10AAD095" w14:textId="17C6E319" w:rsidTr="00B92F0C">
        <w:tc>
          <w:tcPr>
            <w:tcW w:w="437" w:type="pct"/>
            <w:shd w:val="clear" w:color="auto" w:fill="D9D9D9" w:themeFill="background1" w:themeFillShade="D9"/>
          </w:tcPr>
          <w:p w14:paraId="61047D78" w14:textId="07133AF6" w:rsidR="008F0DF3" w:rsidRDefault="008F0DF3" w:rsidP="008F0DF3">
            <w:pPr>
              <w:tabs>
                <w:tab w:val="left" w:pos="5580"/>
              </w:tabs>
              <w:spacing w:before="120" w:after="120" w:line="240" w:lineRule="auto"/>
              <w:jc w:val="center"/>
            </w:pPr>
            <w:r>
              <w:t>Yes</w:t>
            </w:r>
          </w:p>
        </w:tc>
        <w:tc>
          <w:tcPr>
            <w:tcW w:w="420" w:type="pct"/>
          </w:tcPr>
          <w:p w14:paraId="7637D68F" w14:textId="4BD822A4" w:rsidR="008F0DF3" w:rsidRDefault="008F0DF3" w:rsidP="008F0DF3">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11" w:type="pct"/>
            <w:shd w:val="clear" w:color="auto" w:fill="D9D9D9" w:themeFill="background1" w:themeFillShade="D9"/>
          </w:tcPr>
          <w:p w14:paraId="01B312EC" w14:textId="5EE059F9" w:rsidR="008F0DF3" w:rsidRDefault="008F0DF3" w:rsidP="008F0DF3">
            <w:pPr>
              <w:tabs>
                <w:tab w:val="left" w:pos="5580"/>
              </w:tabs>
              <w:spacing w:before="120" w:after="120" w:line="240" w:lineRule="auto"/>
              <w:jc w:val="center"/>
            </w:pPr>
            <w:r>
              <w:t>No</w:t>
            </w:r>
          </w:p>
        </w:tc>
        <w:tc>
          <w:tcPr>
            <w:tcW w:w="408" w:type="pct"/>
          </w:tcPr>
          <w:p w14:paraId="572F21A9" w14:textId="4C29047B" w:rsidR="008F0DF3" w:rsidRDefault="008F0DF3" w:rsidP="008F0DF3">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31" w:type="pct"/>
            <w:shd w:val="clear" w:color="auto" w:fill="D9D9D9" w:themeFill="background1" w:themeFillShade="D9"/>
          </w:tcPr>
          <w:p w14:paraId="5F6B017B" w14:textId="6000522A" w:rsidR="008F0DF3" w:rsidRDefault="008F0DF3" w:rsidP="008F0DF3">
            <w:pPr>
              <w:tabs>
                <w:tab w:val="left" w:pos="5580"/>
              </w:tabs>
              <w:spacing w:before="120" w:after="120" w:line="240" w:lineRule="auto"/>
              <w:jc w:val="center"/>
            </w:pPr>
            <w:r>
              <w:t>Yes</w:t>
            </w:r>
          </w:p>
        </w:tc>
        <w:tc>
          <w:tcPr>
            <w:tcW w:w="417" w:type="pct"/>
          </w:tcPr>
          <w:p w14:paraId="462B3805" w14:textId="783025FC" w:rsidR="008F0DF3" w:rsidRDefault="008F0DF3" w:rsidP="008F0DF3">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11" w:type="pct"/>
            <w:shd w:val="clear" w:color="auto" w:fill="D9D9D9" w:themeFill="background1" w:themeFillShade="D9"/>
          </w:tcPr>
          <w:p w14:paraId="41F05CAE" w14:textId="162D42A6" w:rsidR="008F0DF3" w:rsidRDefault="008F0DF3" w:rsidP="008F0DF3">
            <w:pPr>
              <w:tabs>
                <w:tab w:val="left" w:pos="5580"/>
              </w:tabs>
              <w:spacing w:before="120" w:after="120" w:line="240" w:lineRule="auto"/>
              <w:jc w:val="center"/>
            </w:pPr>
            <w:r>
              <w:t>No</w:t>
            </w:r>
          </w:p>
        </w:tc>
        <w:tc>
          <w:tcPr>
            <w:tcW w:w="408" w:type="pct"/>
          </w:tcPr>
          <w:p w14:paraId="0310F9AD" w14:textId="01A72083" w:rsidR="008F0DF3" w:rsidRDefault="008F0DF3" w:rsidP="008F0DF3">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657" w:type="pct"/>
            <w:vMerge/>
            <w:shd w:val="clear" w:color="auto" w:fill="D9D9D9" w:themeFill="background1" w:themeFillShade="D9"/>
          </w:tcPr>
          <w:p w14:paraId="6C519415" w14:textId="77777777" w:rsidR="008F0DF3" w:rsidRDefault="008F0DF3" w:rsidP="008F0DF3">
            <w:pPr>
              <w:tabs>
                <w:tab w:val="left" w:pos="5580"/>
              </w:tabs>
              <w:spacing w:before="120" w:after="120" w:line="240" w:lineRule="auto"/>
            </w:pPr>
          </w:p>
        </w:tc>
      </w:tr>
      <w:tr w:rsidR="008F0DF3" w14:paraId="279D017A" w14:textId="3E14ACA4" w:rsidTr="00B92F0C">
        <w:tc>
          <w:tcPr>
            <w:tcW w:w="1676" w:type="pct"/>
            <w:gridSpan w:val="4"/>
          </w:tcPr>
          <w:p w14:paraId="38B5636F" w14:textId="442FFC56" w:rsidR="008F0DF3" w:rsidRDefault="008F0DF3" w:rsidP="008F0DF3">
            <w:pPr>
              <w:pStyle w:val="ListParagraph"/>
              <w:numPr>
                <w:ilvl w:val="0"/>
                <w:numId w:val="10"/>
              </w:numPr>
              <w:tabs>
                <w:tab w:val="left" w:pos="5580"/>
              </w:tabs>
              <w:spacing w:before="120" w:after="120" w:line="240" w:lineRule="auto"/>
            </w:pPr>
          </w:p>
        </w:tc>
        <w:tc>
          <w:tcPr>
            <w:tcW w:w="1667" w:type="pct"/>
            <w:gridSpan w:val="4"/>
          </w:tcPr>
          <w:p w14:paraId="239039F9" w14:textId="77777777" w:rsidR="008F0DF3" w:rsidRDefault="008F0DF3" w:rsidP="008F0DF3">
            <w:pPr>
              <w:pStyle w:val="ListParagraph"/>
              <w:numPr>
                <w:ilvl w:val="0"/>
                <w:numId w:val="10"/>
              </w:numPr>
              <w:tabs>
                <w:tab w:val="left" w:pos="5580"/>
              </w:tabs>
              <w:spacing w:before="120" w:after="120" w:line="240" w:lineRule="auto"/>
            </w:pPr>
          </w:p>
        </w:tc>
        <w:tc>
          <w:tcPr>
            <w:tcW w:w="1657" w:type="pct"/>
          </w:tcPr>
          <w:p w14:paraId="5A3E6B08" w14:textId="77777777" w:rsidR="008F0DF3" w:rsidRDefault="008F0DF3" w:rsidP="008F0DF3">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5B041F">
      <w:headerReference w:type="even" r:id="rId10"/>
      <w:headerReference w:type="default" r:id="rId11"/>
      <w:footerReference w:type="default" r:id="rId12"/>
      <w:headerReference w:type="first" r:id="rId13"/>
      <w:pgSz w:w="16838" w:h="11906" w:orient="landscape"/>
      <w:pgMar w:top="1247"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577F" w14:textId="77777777" w:rsidR="00006D8D" w:rsidRDefault="00006D8D" w:rsidP="00A461A1">
      <w:pPr>
        <w:spacing w:after="0" w:line="240" w:lineRule="auto"/>
      </w:pPr>
      <w:r>
        <w:separator/>
      </w:r>
    </w:p>
  </w:endnote>
  <w:endnote w:type="continuationSeparator" w:id="0">
    <w:p w14:paraId="39A6F1DE" w14:textId="77777777" w:rsidR="00006D8D" w:rsidRDefault="00006D8D"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04065" w14:textId="77777777" w:rsidR="00006D8D" w:rsidRDefault="00006D8D" w:rsidP="00A461A1">
      <w:pPr>
        <w:spacing w:after="0" w:line="240" w:lineRule="auto"/>
      </w:pPr>
      <w:r>
        <w:separator/>
      </w:r>
    </w:p>
  </w:footnote>
  <w:footnote w:type="continuationSeparator" w:id="0">
    <w:p w14:paraId="275B0847" w14:textId="77777777" w:rsidR="00006D8D" w:rsidRDefault="00006D8D"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000000">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1026"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6336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D8A5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000000">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1025"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88B"/>
    <w:multiLevelType w:val="hybridMultilevel"/>
    <w:tmpl w:val="36164E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ED25AB"/>
    <w:multiLevelType w:val="hybridMultilevel"/>
    <w:tmpl w:val="8AE60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4440F1"/>
    <w:multiLevelType w:val="hybridMultilevel"/>
    <w:tmpl w:val="54FE2A5E"/>
    <w:lvl w:ilvl="0" w:tplc="ACDC1124">
      <w:numFmt w:val="bullet"/>
      <w:lvlText w:val="-"/>
      <w:lvlJc w:val="left"/>
      <w:pPr>
        <w:ind w:left="689" w:hanging="360"/>
      </w:pPr>
      <w:rPr>
        <w:rFonts w:ascii="Arial" w:eastAsia="Times New Roman" w:hAnsi="Arial" w:cs="Arial" w:hint="default"/>
      </w:rPr>
    </w:lvl>
    <w:lvl w:ilvl="1" w:tplc="0C090003" w:tentative="1">
      <w:start w:val="1"/>
      <w:numFmt w:val="bullet"/>
      <w:lvlText w:val="o"/>
      <w:lvlJc w:val="left"/>
      <w:pPr>
        <w:ind w:left="1409" w:hanging="360"/>
      </w:pPr>
      <w:rPr>
        <w:rFonts w:ascii="Courier New" w:hAnsi="Courier New" w:cs="Courier New" w:hint="default"/>
      </w:rPr>
    </w:lvl>
    <w:lvl w:ilvl="2" w:tplc="0C090005" w:tentative="1">
      <w:start w:val="1"/>
      <w:numFmt w:val="bullet"/>
      <w:lvlText w:val=""/>
      <w:lvlJc w:val="left"/>
      <w:pPr>
        <w:ind w:left="2129" w:hanging="360"/>
      </w:pPr>
      <w:rPr>
        <w:rFonts w:ascii="Wingdings" w:hAnsi="Wingdings" w:hint="default"/>
      </w:rPr>
    </w:lvl>
    <w:lvl w:ilvl="3" w:tplc="0C090001" w:tentative="1">
      <w:start w:val="1"/>
      <w:numFmt w:val="bullet"/>
      <w:lvlText w:val=""/>
      <w:lvlJc w:val="left"/>
      <w:pPr>
        <w:ind w:left="2849" w:hanging="360"/>
      </w:pPr>
      <w:rPr>
        <w:rFonts w:ascii="Symbol" w:hAnsi="Symbol" w:hint="default"/>
      </w:rPr>
    </w:lvl>
    <w:lvl w:ilvl="4" w:tplc="0C090003" w:tentative="1">
      <w:start w:val="1"/>
      <w:numFmt w:val="bullet"/>
      <w:lvlText w:val="o"/>
      <w:lvlJc w:val="left"/>
      <w:pPr>
        <w:ind w:left="3569" w:hanging="360"/>
      </w:pPr>
      <w:rPr>
        <w:rFonts w:ascii="Courier New" w:hAnsi="Courier New" w:cs="Courier New" w:hint="default"/>
      </w:rPr>
    </w:lvl>
    <w:lvl w:ilvl="5" w:tplc="0C090005" w:tentative="1">
      <w:start w:val="1"/>
      <w:numFmt w:val="bullet"/>
      <w:lvlText w:val=""/>
      <w:lvlJc w:val="left"/>
      <w:pPr>
        <w:ind w:left="4289" w:hanging="360"/>
      </w:pPr>
      <w:rPr>
        <w:rFonts w:ascii="Wingdings" w:hAnsi="Wingdings" w:hint="default"/>
      </w:rPr>
    </w:lvl>
    <w:lvl w:ilvl="6" w:tplc="0C090001" w:tentative="1">
      <w:start w:val="1"/>
      <w:numFmt w:val="bullet"/>
      <w:lvlText w:val=""/>
      <w:lvlJc w:val="left"/>
      <w:pPr>
        <w:ind w:left="5009" w:hanging="360"/>
      </w:pPr>
      <w:rPr>
        <w:rFonts w:ascii="Symbol" w:hAnsi="Symbol" w:hint="default"/>
      </w:rPr>
    </w:lvl>
    <w:lvl w:ilvl="7" w:tplc="0C090003" w:tentative="1">
      <w:start w:val="1"/>
      <w:numFmt w:val="bullet"/>
      <w:lvlText w:val="o"/>
      <w:lvlJc w:val="left"/>
      <w:pPr>
        <w:ind w:left="5729" w:hanging="360"/>
      </w:pPr>
      <w:rPr>
        <w:rFonts w:ascii="Courier New" w:hAnsi="Courier New" w:cs="Courier New" w:hint="default"/>
      </w:rPr>
    </w:lvl>
    <w:lvl w:ilvl="8" w:tplc="0C090005" w:tentative="1">
      <w:start w:val="1"/>
      <w:numFmt w:val="bullet"/>
      <w:lvlText w:val=""/>
      <w:lvlJc w:val="left"/>
      <w:pPr>
        <w:ind w:left="6449" w:hanging="360"/>
      </w:pPr>
      <w:rPr>
        <w:rFonts w:ascii="Wingdings" w:hAnsi="Wingdings" w:hint="default"/>
      </w:rPr>
    </w:lvl>
  </w:abstractNum>
  <w:abstractNum w:abstractNumId="4" w15:restartNumberingAfterBreak="0">
    <w:nsid w:val="37591E84"/>
    <w:multiLevelType w:val="hybridMultilevel"/>
    <w:tmpl w:val="3F809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3A5504E"/>
    <w:multiLevelType w:val="hybridMultilevel"/>
    <w:tmpl w:val="2A66D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7"/>
  </w:num>
  <w:num w:numId="3" w16cid:durableId="847332313">
    <w:abstractNumId w:val="5"/>
  </w:num>
  <w:num w:numId="4" w16cid:durableId="1850562679">
    <w:abstractNumId w:val="5"/>
  </w:num>
  <w:num w:numId="5" w16cid:durableId="585457671">
    <w:abstractNumId w:val="5"/>
  </w:num>
  <w:num w:numId="6" w16cid:durableId="508253953">
    <w:abstractNumId w:val="5"/>
  </w:num>
  <w:num w:numId="7" w16cid:durableId="668141638">
    <w:abstractNumId w:val="5"/>
  </w:num>
  <w:num w:numId="8" w16cid:durableId="1181814534">
    <w:abstractNumId w:val="5"/>
  </w:num>
  <w:num w:numId="9" w16cid:durableId="344211743">
    <w:abstractNumId w:val="5"/>
  </w:num>
  <w:num w:numId="10" w16cid:durableId="686255131">
    <w:abstractNumId w:val="1"/>
  </w:num>
  <w:num w:numId="11" w16cid:durableId="1316495436">
    <w:abstractNumId w:val="2"/>
  </w:num>
  <w:num w:numId="12" w16cid:durableId="249773091">
    <w:abstractNumId w:val="6"/>
  </w:num>
  <w:num w:numId="13" w16cid:durableId="1752920679">
    <w:abstractNumId w:val="8"/>
  </w:num>
  <w:num w:numId="14" w16cid:durableId="1041978143">
    <w:abstractNumId w:val="3"/>
  </w:num>
  <w:num w:numId="15" w16cid:durableId="2029142360">
    <w:abstractNumId w:val="0"/>
  </w:num>
  <w:num w:numId="16" w16cid:durableId="1218860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06D8D"/>
    <w:rsid w:val="002F21E7"/>
    <w:rsid w:val="003D6393"/>
    <w:rsid w:val="004757D5"/>
    <w:rsid w:val="004864F2"/>
    <w:rsid w:val="005B041F"/>
    <w:rsid w:val="005F443A"/>
    <w:rsid w:val="00724D99"/>
    <w:rsid w:val="007B19C9"/>
    <w:rsid w:val="007B4415"/>
    <w:rsid w:val="008F0DF3"/>
    <w:rsid w:val="00973364"/>
    <w:rsid w:val="00A2355A"/>
    <w:rsid w:val="00A461A1"/>
    <w:rsid w:val="00B52555"/>
    <w:rsid w:val="00B92F0C"/>
    <w:rsid w:val="00C66DB8"/>
    <w:rsid w:val="00C869A3"/>
    <w:rsid w:val="00D23530"/>
    <w:rsid w:val="00D276C1"/>
    <w:rsid w:val="00D8147B"/>
    <w:rsid w:val="00E22DDB"/>
    <w:rsid w:val="00E909E6"/>
    <w:rsid w:val="00F01760"/>
    <w:rsid w:val="00F06D8A"/>
    <w:rsid w:val="00F37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0DF3"/>
    <w:rPr>
      <w:color w:val="800080"/>
      <w:u w:val="single"/>
    </w:rPr>
  </w:style>
  <w:style w:type="character" w:styleId="Hyperlink">
    <w:name w:val="Hyperlink"/>
    <w:rsid w:val="008F0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sa.gov.au/licence-and-registration/licence-holder-regist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bestos.vic.gov.au/in-the-workplace/clean-up-and-disposa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Debbie Nation</cp:lastModifiedBy>
  <cp:revision>5</cp:revision>
  <dcterms:created xsi:type="dcterms:W3CDTF">2025-02-25T21:36:00Z</dcterms:created>
  <dcterms:modified xsi:type="dcterms:W3CDTF">2025-02-25T21:39:00Z</dcterms:modified>
</cp:coreProperties>
</file>