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611AB587" w:rsidR="0035226C" w:rsidRDefault="00C43D09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Responsibility, Authority &amp; Accountability Matrix</w:t>
      </w:r>
    </w:p>
    <w:p w14:paraId="64DA3630" w14:textId="728EC494" w:rsidR="00C43D09" w:rsidRDefault="00C43D09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Workers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647"/>
      </w:tblGrid>
      <w:tr w:rsidR="00C43D09" w:rsidRPr="00C43D09" w14:paraId="11F3CA34" w14:textId="77777777" w:rsidTr="00C43D09">
        <w:trPr>
          <w:trHeight w:val="794"/>
        </w:trPr>
        <w:tc>
          <w:tcPr>
            <w:tcW w:w="1526" w:type="dxa"/>
            <w:shd w:val="clear" w:color="auto" w:fill="C9B5EF" w:themeFill="accent2"/>
            <w:vAlign w:val="center"/>
          </w:tcPr>
          <w:p w14:paraId="61009DF4" w14:textId="77777777" w:rsidR="00C43D09" w:rsidRPr="00C43D09" w:rsidRDefault="00C43D09" w:rsidP="00C43D09">
            <w:pPr>
              <w:spacing w:after="120"/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</w:pPr>
            <w:r w:rsidRPr="00C43D09"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  <w:t>Position</w:t>
            </w:r>
          </w:p>
        </w:tc>
        <w:tc>
          <w:tcPr>
            <w:tcW w:w="8647" w:type="dxa"/>
            <w:shd w:val="clear" w:color="auto" w:fill="C9B5EF" w:themeFill="accent2"/>
            <w:vAlign w:val="center"/>
          </w:tcPr>
          <w:p w14:paraId="6FB871D4" w14:textId="77777777" w:rsidR="00C43D09" w:rsidRPr="00C43D09" w:rsidRDefault="00C43D09" w:rsidP="00C43D09">
            <w:pPr>
              <w:spacing w:after="120"/>
              <w:jc w:val="center"/>
              <w:rPr>
                <w:rFonts w:ascii="Noto Serif Armenian Light" w:hAnsi="Noto Serif Armenian Light" w:cs="Arial"/>
                <w:b/>
                <w:color w:val="533E7C" w:themeColor="accent1"/>
                <w:sz w:val="32"/>
                <w:szCs w:val="32"/>
              </w:rPr>
            </w:pPr>
            <w:r w:rsidRPr="00C43D09">
              <w:rPr>
                <w:rFonts w:ascii="Noto Serif Armenian Light" w:hAnsi="Noto Serif Armenian Light" w:cs="Arial"/>
                <w:b/>
                <w:color w:val="533E7C" w:themeColor="accent1"/>
                <w:sz w:val="32"/>
                <w:szCs w:val="32"/>
              </w:rPr>
              <w:t>Workers</w:t>
            </w:r>
          </w:p>
        </w:tc>
      </w:tr>
      <w:tr w:rsidR="00C43D09" w:rsidRPr="00C43D09" w14:paraId="2F6E9100" w14:textId="77777777" w:rsidTr="00C43D09">
        <w:tc>
          <w:tcPr>
            <w:tcW w:w="1526" w:type="dxa"/>
            <w:shd w:val="clear" w:color="auto" w:fill="C9B5EF" w:themeFill="accent2"/>
            <w:vAlign w:val="center"/>
          </w:tcPr>
          <w:p w14:paraId="50A0EDDA" w14:textId="77777777" w:rsidR="00C43D09" w:rsidRPr="00C43D09" w:rsidRDefault="00C43D09" w:rsidP="00C43D09">
            <w:pPr>
              <w:spacing w:after="120"/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</w:pPr>
            <w:r w:rsidRPr="00C43D09"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  <w:t>Purpose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8D1B08B" w14:textId="77777777" w:rsidR="00C43D09" w:rsidRPr="00C43D09" w:rsidRDefault="00C43D09" w:rsidP="00C43D09">
            <w:pPr>
              <w:spacing w:after="120"/>
              <w:rPr>
                <w:rFonts w:ascii="Noto Serif Armenian Light" w:hAnsi="Noto Serif Armenian Light" w:cs="Arial"/>
                <w:sz w:val="21"/>
                <w:szCs w:val="21"/>
              </w:rPr>
            </w:pPr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>This document explains your health &amp; safety responsibilities, authority and accountabilities in your role.</w:t>
            </w:r>
          </w:p>
        </w:tc>
      </w:tr>
      <w:tr w:rsidR="00C43D09" w:rsidRPr="00C43D09" w14:paraId="45426D3A" w14:textId="77777777" w:rsidTr="00C43D09">
        <w:tc>
          <w:tcPr>
            <w:tcW w:w="1526" w:type="dxa"/>
            <w:vMerge w:val="restart"/>
            <w:shd w:val="clear" w:color="auto" w:fill="C9B5EF" w:themeFill="accent2"/>
            <w:vAlign w:val="center"/>
          </w:tcPr>
          <w:p w14:paraId="3FBD71EF" w14:textId="77777777" w:rsidR="00C43D09" w:rsidRPr="00C43D09" w:rsidRDefault="00C43D09" w:rsidP="00C43D09">
            <w:pPr>
              <w:spacing w:after="120"/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</w:pPr>
            <w:r w:rsidRPr="00C43D09"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  <w:t>Definitions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1C8BBDC" w14:textId="77777777" w:rsidR="00C43D09" w:rsidRPr="00C43D09" w:rsidRDefault="00C43D09" w:rsidP="00C43D09">
            <w:pPr>
              <w:spacing w:after="120"/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</w:pPr>
            <w:r w:rsidRPr="00C43D09"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  <w:t>Responsibility</w:t>
            </w:r>
          </w:p>
          <w:p w14:paraId="6CDBBF2F" w14:textId="77777777" w:rsidR="00C43D09" w:rsidRPr="00C43D09" w:rsidRDefault="00C43D09" w:rsidP="00C43D09">
            <w:pPr>
              <w:spacing w:after="120"/>
              <w:rPr>
                <w:rFonts w:ascii="Noto Serif Armenian Light" w:hAnsi="Noto Serif Armenian Light" w:cs="Arial"/>
                <w:sz w:val="21"/>
                <w:szCs w:val="21"/>
              </w:rPr>
            </w:pPr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>Specific requirements assigned to workers for the fulfilment of a task (what is expected of you in your role).</w:t>
            </w:r>
          </w:p>
        </w:tc>
      </w:tr>
      <w:tr w:rsidR="00C43D09" w:rsidRPr="00C43D09" w14:paraId="20CF70B4" w14:textId="77777777" w:rsidTr="00C43D09">
        <w:tc>
          <w:tcPr>
            <w:tcW w:w="1526" w:type="dxa"/>
            <w:vMerge/>
            <w:shd w:val="clear" w:color="auto" w:fill="C9B5EF" w:themeFill="accent2"/>
            <w:vAlign w:val="center"/>
          </w:tcPr>
          <w:p w14:paraId="20652D5A" w14:textId="77777777" w:rsidR="00C43D09" w:rsidRPr="00C43D09" w:rsidRDefault="00C43D09" w:rsidP="00C43D09">
            <w:pPr>
              <w:spacing w:after="120"/>
              <w:rPr>
                <w:rFonts w:ascii="Noto Serif Armenian Light" w:hAnsi="Noto Serif Armenian Light" w:cs="Arial"/>
                <w:b/>
                <w:color w:val="FF9900"/>
                <w:szCs w:val="16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489A305" w14:textId="77777777" w:rsidR="00C43D09" w:rsidRPr="00C43D09" w:rsidRDefault="00C43D09" w:rsidP="00C43D09">
            <w:pPr>
              <w:spacing w:after="120"/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</w:pPr>
            <w:r w:rsidRPr="00C43D09"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  <w:t>Authority</w:t>
            </w:r>
          </w:p>
          <w:p w14:paraId="0F3FE20B" w14:textId="77777777" w:rsidR="00C43D09" w:rsidRPr="00C43D09" w:rsidRDefault="00C43D09" w:rsidP="00C43D09">
            <w:pPr>
              <w:spacing w:after="120"/>
              <w:rPr>
                <w:rFonts w:ascii="Noto Serif Armenian Light" w:hAnsi="Noto Serif Armenian Light" w:cs="Arial"/>
                <w:sz w:val="21"/>
                <w:szCs w:val="21"/>
              </w:rPr>
            </w:pPr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>The delegation of official power to carry out tasks with and through others to fulfil assigned responsibilities (defines what decisions and actions you can take).</w:t>
            </w:r>
          </w:p>
        </w:tc>
      </w:tr>
      <w:tr w:rsidR="00C43D09" w:rsidRPr="00C43D09" w14:paraId="6F8822D4" w14:textId="77777777" w:rsidTr="00C43D09">
        <w:tc>
          <w:tcPr>
            <w:tcW w:w="1526" w:type="dxa"/>
            <w:vMerge/>
            <w:shd w:val="clear" w:color="auto" w:fill="C9B5EF" w:themeFill="accent2"/>
            <w:vAlign w:val="center"/>
          </w:tcPr>
          <w:p w14:paraId="51235F6A" w14:textId="77777777" w:rsidR="00C43D09" w:rsidRPr="00C43D09" w:rsidRDefault="00C43D09" w:rsidP="00C43D09">
            <w:pPr>
              <w:spacing w:after="120"/>
              <w:rPr>
                <w:rFonts w:ascii="Noto Serif Armenian Light" w:hAnsi="Noto Serif Armenian Light" w:cs="Arial"/>
                <w:b/>
                <w:color w:val="FF9900"/>
                <w:szCs w:val="16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55103DEC" w14:textId="77777777" w:rsidR="00C43D09" w:rsidRPr="00C43D09" w:rsidRDefault="00C43D09" w:rsidP="00C43D09">
            <w:pPr>
              <w:spacing w:after="120"/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</w:pPr>
            <w:r w:rsidRPr="00C43D09"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  <w:t>Accountability</w:t>
            </w:r>
          </w:p>
          <w:p w14:paraId="6B246D75" w14:textId="77777777" w:rsidR="00C43D09" w:rsidRPr="00C43D09" w:rsidRDefault="00C43D09" w:rsidP="00C43D09">
            <w:pPr>
              <w:spacing w:after="120"/>
              <w:rPr>
                <w:rFonts w:ascii="Noto Serif Armenian Light" w:hAnsi="Noto Serif Armenian Light" w:cs="Arial"/>
                <w:sz w:val="21"/>
                <w:szCs w:val="21"/>
              </w:rPr>
            </w:pPr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>The active measurement of a person’s fulfilment or otherwise of an assigned responsibility (how you will be measured against your responsibilities).</w:t>
            </w:r>
          </w:p>
        </w:tc>
      </w:tr>
      <w:tr w:rsidR="00C43D09" w:rsidRPr="00C43D09" w14:paraId="3062B2D4" w14:textId="77777777" w:rsidTr="00C43D09">
        <w:tc>
          <w:tcPr>
            <w:tcW w:w="10173" w:type="dxa"/>
            <w:gridSpan w:val="2"/>
            <w:shd w:val="clear" w:color="auto" w:fill="C9B5EF" w:themeFill="accent2"/>
            <w:vAlign w:val="center"/>
          </w:tcPr>
          <w:p w14:paraId="54AD0CA3" w14:textId="77777777" w:rsidR="00C43D09" w:rsidRPr="00C43D09" w:rsidRDefault="00C43D09" w:rsidP="00C43D09">
            <w:pPr>
              <w:spacing w:after="120"/>
              <w:jc w:val="center"/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</w:pPr>
            <w:r w:rsidRPr="00C43D09"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  <w:t>RESPONSIBILITIES</w:t>
            </w:r>
          </w:p>
          <w:p w14:paraId="0DCA992B" w14:textId="77777777" w:rsidR="00C43D09" w:rsidRPr="00C43D09" w:rsidRDefault="00C43D09" w:rsidP="00C43D09">
            <w:pPr>
              <w:spacing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43D09">
              <w:rPr>
                <w:rFonts w:ascii="Noto Serif Armenian Light" w:hAnsi="Noto Serif Armenian Light" w:cs="Arial"/>
                <w:sz w:val="18"/>
                <w:szCs w:val="18"/>
              </w:rPr>
              <w:t>(These responsibilities will apply as so far as is reasonably practicable and not beyond the control of the individual)</w:t>
            </w:r>
          </w:p>
        </w:tc>
      </w:tr>
      <w:tr w:rsidR="00C43D09" w:rsidRPr="00C43D09" w14:paraId="43B6001C" w14:textId="77777777" w:rsidTr="00C166BC">
        <w:tc>
          <w:tcPr>
            <w:tcW w:w="10173" w:type="dxa"/>
            <w:gridSpan w:val="2"/>
            <w:shd w:val="clear" w:color="auto" w:fill="auto"/>
            <w:vAlign w:val="center"/>
          </w:tcPr>
          <w:p w14:paraId="55734F4C" w14:textId="77777777" w:rsidR="00C43D09" w:rsidRPr="00C43D09" w:rsidRDefault="00C43D09" w:rsidP="00C43D09">
            <w:pPr>
              <w:spacing w:after="120"/>
              <w:jc w:val="center"/>
              <w:rPr>
                <w:rFonts w:ascii="Noto Serif Armenian Light" w:hAnsi="Noto Serif Armenian Light" w:cs="Arial"/>
                <w:b/>
                <w:szCs w:val="16"/>
              </w:rPr>
            </w:pPr>
            <w:r w:rsidRPr="00C43D09">
              <w:rPr>
                <w:rFonts w:ascii="Noto Serif Armenian Light" w:hAnsi="Noto Serif Armenian Light" w:cs="Arial"/>
                <w:b/>
                <w:szCs w:val="16"/>
              </w:rPr>
              <w:t>The following responsibilities are applicable to all workers under Catholic Church Endowment Society Inc. (CCES) self - insurance.</w:t>
            </w:r>
          </w:p>
        </w:tc>
      </w:tr>
      <w:tr w:rsidR="00C43D09" w:rsidRPr="00C43D09" w14:paraId="7E7CB150" w14:textId="77777777" w:rsidTr="00C166BC">
        <w:tc>
          <w:tcPr>
            <w:tcW w:w="10173" w:type="dxa"/>
            <w:gridSpan w:val="2"/>
            <w:shd w:val="clear" w:color="auto" w:fill="auto"/>
            <w:vAlign w:val="center"/>
          </w:tcPr>
          <w:p w14:paraId="382F026C" w14:textId="77777777" w:rsidR="00C43D09" w:rsidRPr="00C43D09" w:rsidRDefault="00C43D09" w:rsidP="00C43D09">
            <w:pPr>
              <w:numPr>
                <w:ilvl w:val="0"/>
                <w:numId w:val="3"/>
              </w:numPr>
              <w:spacing w:after="120" w:line="240" w:lineRule="auto"/>
              <w:ind w:left="360"/>
              <w:rPr>
                <w:rFonts w:ascii="Noto Serif Armenian Light" w:hAnsi="Noto Serif Armenian Light" w:cs="Arial"/>
                <w:sz w:val="21"/>
                <w:szCs w:val="21"/>
              </w:rPr>
            </w:pPr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>take reasonable care of yourself and others in the workplace.</w:t>
            </w:r>
          </w:p>
        </w:tc>
      </w:tr>
      <w:tr w:rsidR="00C43D09" w:rsidRPr="00C43D09" w14:paraId="14CBB5C8" w14:textId="77777777" w:rsidTr="00C166BC">
        <w:tc>
          <w:tcPr>
            <w:tcW w:w="10173" w:type="dxa"/>
            <w:gridSpan w:val="2"/>
            <w:shd w:val="clear" w:color="auto" w:fill="auto"/>
            <w:vAlign w:val="center"/>
          </w:tcPr>
          <w:p w14:paraId="10AB403A" w14:textId="77777777" w:rsidR="00C43D09" w:rsidRPr="00C43D09" w:rsidRDefault="00C43D09" w:rsidP="00C43D09">
            <w:pPr>
              <w:numPr>
                <w:ilvl w:val="0"/>
                <w:numId w:val="3"/>
              </w:numPr>
              <w:spacing w:after="120" w:line="240" w:lineRule="auto"/>
              <w:ind w:left="360"/>
              <w:rPr>
                <w:rFonts w:ascii="Noto Serif Armenian Light" w:hAnsi="Noto Serif Armenian Light" w:cs="Arial"/>
                <w:sz w:val="21"/>
                <w:szCs w:val="21"/>
              </w:rPr>
            </w:pPr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>take reasonable care that your acts or omissions do not adversely affect the health and safety of other persons.</w:t>
            </w:r>
          </w:p>
        </w:tc>
      </w:tr>
      <w:tr w:rsidR="00C43D09" w:rsidRPr="00C43D09" w14:paraId="15EB3DA7" w14:textId="77777777" w:rsidTr="00C166BC">
        <w:tc>
          <w:tcPr>
            <w:tcW w:w="10173" w:type="dxa"/>
            <w:gridSpan w:val="2"/>
            <w:shd w:val="clear" w:color="auto" w:fill="auto"/>
            <w:vAlign w:val="center"/>
          </w:tcPr>
          <w:p w14:paraId="660982C9" w14:textId="77777777" w:rsidR="00C43D09" w:rsidRPr="00C43D09" w:rsidRDefault="00C43D09" w:rsidP="00C43D09">
            <w:pPr>
              <w:numPr>
                <w:ilvl w:val="0"/>
                <w:numId w:val="3"/>
              </w:numPr>
              <w:spacing w:after="120" w:line="240" w:lineRule="auto"/>
              <w:ind w:left="360"/>
              <w:rPr>
                <w:rFonts w:ascii="Noto Serif Armenian Light" w:hAnsi="Noto Serif Armenian Light" w:cs="Arial"/>
                <w:sz w:val="21"/>
                <w:szCs w:val="21"/>
              </w:rPr>
            </w:pPr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>comply, so far as you are reasonably able, with any reasonable instruction that is given by the PCBU to allow the person to comply with the WHS Act.</w:t>
            </w:r>
          </w:p>
        </w:tc>
      </w:tr>
      <w:tr w:rsidR="00C43D09" w:rsidRPr="00C43D09" w14:paraId="75CB77DC" w14:textId="77777777" w:rsidTr="00C166BC">
        <w:tc>
          <w:tcPr>
            <w:tcW w:w="10173" w:type="dxa"/>
            <w:gridSpan w:val="2"/>
            <w:shd w:val="clear" w:color="auto" w:fill="auto"/>
            <w:vAlign w:val="center"/>
          </w:tcPr>
          <w:p w14:paraId="7CA8E0F8" w14:textId="77777777" w:rsidR="00C43D09" w:rsidRPr="00C43D09" w:rsidRDefault="00C43D09" w:rsidP="00C43D09">
            <w:pPr>
              <w:numPr>
                <w:ilvl w:val="0"/>
                <w:numId w:val="3"/>
              </w:numPr>
              <w:spacing w:after="120" w:line="240" w:lineRule="auto"/>
              <w:ind w:left="360"/>
              <w:rPr>
                <w:rFonts w:ascii="Noto Serif Armenian Light" w:hAnsi="Noto Serif Armenian Light" w:cs="Arial"/>
                <w:sz w:val="21"/>
                <w:szCs w:val="21"/>
              </w:rPr>
            </w:pPr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>co-operate with any reasonable policy or procedure of the PCBU relating to health or safety at the workplace that has been notified to workers.</w:t>
            </w:r>
          </w:p>
        </w:tc>
      </w:tr>
      <w:tr w:rsidR="00C43D09" w:rsidRPr="00C43D09" w14:paraId="4ACB5D63" w14:textId="77777777" w:rsidTr="00C166BC">
        <w:tc>
          <w:tcPr>
            <w:tcW w:w="10173" w:type="dxa"/>
            <w:gridSpan w:val="2"/>
            <w:shd w:val="clear" w:color="auto" w:fill="auto"/>
            <w:vAlign w:val="center"/>
          </w:tcPr>
          <w:p w14:paraId="19C2372C" w14:textId="77777777" w:rsidR="00C43D09" w:rsidRPr="00C43D09" w:rsidRDefault="00C43D09" w:rsidP="00C43D09">
            <w:pPr>
              <w:numPr>
                <w:ilvl w:val="0"/>
                <w:numId w:val="3"/>
              </w:numPr>
              <w:spacing w:after="120" w:line="240" w:lineRule="auto"/>
              <w:ind w:left="360"/>
              <w:rPr>
                <w:rFonts w:ascii="Noto Serif Armenian Light" w:hAnsi="Noto Serif Armenian Light" w:cs="Arial"/>
                <w:sz w:val="21"/>
                <w:szCs w:val="21"/>
              </w:rPr>
            </w:pPr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>do not bypass or misuse systems or equipment provided for any purpose.</w:t>
            </w:r>
          </w:p>
        </w:tc>
      </w:tr>
      <w:tr w:rsidR="00C43D09" w:rsidRPr="00C43D09" w14:paraId="52A89010" w14:textId="77777777" w:rsidTr="00C166BC">
        <w:tc>
          <w:tcPr>
            <w:tcW w:w="10173" w:type="dxa"/>
            <w:gridSpan w:val="2"/>
            <w:shd w:val="clear" w:color="auto" w:fill="auto"/>
            <w:vAlign w:val="center"/>
          </w:tcPr>
          <w:p w14:paraId="76CA86F6" w14:textId="77777777" w:rsidR="00C43D09" w:rsidRPr="00C43D09" w:rsidRDefault="00C43D09" w:rsidP="00C43D09">
            <w:pPr>
              <w:numPr>
                <w:ilvl w:val="0"/>
                <w:numId w:val="3"/>
              </w:numPr>
              <w:spacing w:after="120" w:line="240" w:lineRule="auto"/>
              <w:ind w:left="360"/>
              <w:rPr>
                <w:rFonts w:ascii="Noto Serif Armenian Light" w:hAnsi="Noto Serif Armenian Light" w:cs="Arial"/>
                <w:sz w:val="21"/>
                <w:szCs w:val="21"/>
              </w:rPr>
            </w:pPr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>report unsafe conditions or acts which come to your attention and address where possible.  Notify your supervisor / manager of actual or potential WHS risks in your work area.</w:t>
            </w:r>
          </w:p>
        </w:tc>
      </w:tr>
      <w:tr w:rsidR="00C43D09" w:rsidRPr="00C43D09" w14:paraId="7FA69DD0" w14:textId="77777777" w:rsidTr="00C166BC">
        <w:tc>
          <w:tcPr>
            <w:tcW w:w="10173" w:type="dxa"/>
            <w:gridSpan w:val="2"/>
            <w:shd w:val="clear" w:color="auto" w:fill="auto"/>
            <w:vAlign w:val="center"/>
          </w:tcPr>
          <w:p w14:paraId="27ABAA07" w14:textId="3E6186B8" w:rsidR="00C43D09" w:rsidRPr="00C43D09" w:rsidRDefault="00C43D09" w:rsidP="00C43D09">
            <w:pPr>
              <w:numPr>
                <w:ilvl w:val="0"/>
                <w:numId w:val="3"/>
              </w:numPr>
              <w:spacing w:after="120" w:line="240" w:lineRule="auto"/>
              <w:ind w:left="360"/>
              <w:rPr>
                <w:rFonts w:ascii="Noto Serif Armenian Light" w:hAnsi="Noto Serif Armenian Light" w:cs="Arial"/>
                <w:sz w:val="21"/>
                <w:szCs w:val="21"/>
              </w:rPr>
            </w:pPr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 xml:space="preserve">notify your supervisor / manager of incidents, injury, and pain or discomfort following a </w:t>
            </w:r>
            <w:proofErr w:type="gramStart"/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>work related</w:t>
            </w:r>
            <w:proofErr w:type="gramEnd"/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 xml:space="preserve"> injury / activity </w:t>
            </w:r>
            <w:r w:rsidRPr="00C43D09">
              <w:rPr>
                <w:rFonts w:ascii="Noto Serif Armenian Light" w:hAnsi="Noto Serif Armenian Light" w:cs="Arial"/>
                <w:b/>
                <w:sz w:val="21"/>
                <w:szCs w:val="21"/>
              </w:rPr>
              <w:t>as soon as possible, preferably in the shift it occurs, but no later than 24 h</w:t>
            </w:r>
            <w:r>
              <w:rPr>
                <w:rFonts w:ascii="Noto Serif Armenian Light" w:hAnsi="Noto Serif Armenian Light" w:cs="Arial"/>
                <w:b/>
                <w:sz w:val="21"/>
                <w:szCs w:val="21"/>
              </w:rPr>
              <w:t>r</w:t>
            </w:r>
            <w:r w:rsidRPr="00C43D09">
              <w:rPr>
                <w:rFonts w:ascii="Noto Serif Armenian Light" w:hAnsi="Noto Serif Armenian Light" w:cs="Arial"/>
                <w:b/>
                <w:sz w:val="21"/>
                <w:szCs w:val="21"/>
              </w:rPr>
              <w:t>s</w:t>
            </w:r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>.</w:t>
            </w:r>
          </w:p>
        </w:tc>
      </w:tr>
    </w:tbl>
    <w:p w14:paraId="6DC5F896" w14:textId="77777777" w:rsidR="00C43D09" w:rsidRDefault="00C43D09">
      <w: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43D09" w:rsidRPr="00C43D09" w14:paraId="6854C94F" w14:textId="77777777" w:rsidTr="00C43D09">
        <w:tc>
          <w:tcPr>
            <w:tcW w:w="10173" w:type="dxa"/>
            <w:shd w:val="clear" w:color="auto" w:fill="C9B5EF" w:themeFill="accent2"/>
            <w:vAlign w:val="center"/>
          </w:tcPr>
          <w:p w14:paraId="36013B82" w14:textId="3E7A1D61" w:rsidR="00C43D09" w:rsidRPr="00C43D09" w:rsidRDefault="00C43D09" w:rsidP="00C43D09">
            <w:pPr>
              <w:spacing w:after="120"/>
              <w:jc w:val="center"/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</w:pPr>
            <w:r w:rsidRPr="00C43D09"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  <w:lastRenderedPageBreak/>
              <w:t>LEVEL OF AUTHORITY</w:t>
            </w:r>
          </w:p>
        </w:tc>
      </w:tr>
      <w:tr w:rsidR="00C43D09" w:rsidRPr="00C43D09" w14:paraId="592ECA6B" w14:textId="77777777" w:rsidTr="00C166BC">
        <w:tc>
          <w:tcPr>
            <w:tcW w:w="10173" w:type="dxa"/>
            <w:shd w:val="clear" w:color="auto" w:fill="auto"/>
            <w:vAlign w:val="center"/>
          </w:tcPr>
          <w:p w14:paraId="17BBC8CC" w14:textId="77777777" w:rsidR="00C43D09" w:rsidRPr="00C43D09" w:rsidRDefault="00C43D09" w:rsidP="00C43D09">
            <w:pPr>
              <w:spacing w:after="120"/>
              <w:rPr>
                <w:rFonts w:ascii="Noto Serif Armenian Light" w:hAnsi="Noto Serif Armenian Light" w:cs="Arial"/>
                <w:sz w:val="21"/>
                <w:szCs w:val="21"/>
              </w:rPr>
            </w:pPr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>All workers are authorised to:</w:t>
            </w:r>
          </w:p>
          <w:p w14:paraId="1A12FF92" w14:textId="77777777" w:rsidR="00C43D09" w:rsidRPr="00C43D09" w:rsidRDefault="00C43D09" w:rsidP="00C43D09">
            <w:pPr>
              <w:numPr>
                <w:ilvl w:val="0"/>
                <w:numId w:val="1"/>
              </w:numPr>
              <w:spacing w:after="120" w:line="240" w:lineRule="auto"/>
              <w:rPr>
                <w:rFonts w:ascii="Noto Serif Armenian Light" w:hAnsi="Noto Serif Armenian Light" w:cs="Arial"/>
                <w:sz w:val="21"/>
                <w:szCs w:val="21"/>
              </w:rPr>
            </w:pPr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>Stop any activity where there is imminent risk of harm to self or others and to the environment.</w:t>
            </w:r>
          </w:p>
          <w:p w14:paraId="65E34620" w14:textId="77777777" w:rsidR="00C43D09" w:rsidRPr="00C43D09" w:rsidRDefault="00C43D09" w:rsidP="00C43D09">
            <w:pPr>
              <w:numPr>
                <w:ilvl w:val="0"/>
                <w:numId w:val="1"/>
              </w:numPr>
              <w:spacing w:after="120" w:line="240" w:lineRule="auto"/>
              <w:rPr>
                <w:rFonts w:ascii="Noto Serif Armenian Light" w:hAnsi="Noto Serif Armenian Light" w:cs="Arial"/>
                <w:sz w:val="21"/>
                <w:szCs w:val="21"/>
              </w:rPr>
            </w:pPr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>Instruct others to stop a task considered to present a risk to health, safety and the environment.</w:t>
            </w:r>
          </w:p>
          <w:p w14:paraId="5B061B68" w14:textId="77777777" w:rsidR="00C43D09" w:rsidRPr="00C43D09" w:rsidRDefault="00C43D09" w:rsidP="00C43D09">
            <w:pPr>
              <w:numPr>
                <w:ilvl w:val="0"/>
                <w:numId w:val="1"/>
              </w:numPr>
              <w:spacing w:after="120" w:line="240" w:lineRule="auto"/>
              <w:rPr>
                <w:rFonts w:ascii="Noto Serif Armenian Light" w:hAnsi="Noto Serif Armenian Light" w:cs="Arial"/>
                <w:sz w:val="21"/>
                <w:szCs w:val="21"/>
              </w:rPr>
            </w:pPr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>Raise and / or discuss health, safety, environment and quality matters with supervisors / managers or safety representatives where relevant.</w:t>
            </w:r>
          </w:p>
          <w:p w14:paraId="14564032" w14:textId="77777777" w:rsidR="00C43D09" w:rsidRPr="00C43D09" w:rsidRDefault="00C43D09" w:rsidP="00C43D09">
            <w:pPr>
              <w:numPr>
                <w:ilvl w:val="0"/>
                <w:numId w:val="1"/>
              </w:numPr>
              <w:spacing w:after="120" w:line="240" w:lineRule="auto"/>
              <w:rPr>
                <w:rFonts w:ascii="Noto Serif Armenian Light" w:hAnsi="Noto Serif Armenian Light" w:cs="Arial"/>
                <w:sz w:val="21"/>
                <w:szCs w:val="21"/>
              </w:rPr>
            </w:pPr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>Notify a direct report and follow up on any health safety, environment and quality matters outside of one’s ability or capacity to control.</w:t>
            </w:r>
          </w:p>
          <w:p w14:paraId="4BE988B8" w14:textId="77777777" w:rsidR="00C43D09" w:rsidRPr="00C43D09" w:rsidRDefault="00C43D09" w:rsidP="00C43D09">
            <w:pPr>
              <w:numPr>
                <w:ilvl w:val="0"/>
                <w:numId w:val="1"/>
              </w:numPr>
              <w:spacing w:after="120" w:line="240" w:lineRule="auto"/>
              <w:rPr>
                <w:rFonts w:ascii="Noto Serif Armenian Light" w:hAnsi="Noto Serif Armenian Light" w:cs="Arial"/>
                <w:szCs w:val="16"/>
              </w:rPr>
            </w:pPr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>Escalate health, safety, environment and quality matters to an appropriate level.</w:t>
            </w:r>
          </w:p>
        </w:tc>
      </w:tr>
      <w:tr w:rsidR="00C43D09" w:rsidRPr="00C43D09" w14:paraId="04811242" w14:textId="77777777" w:rsidTr="00C43D09">
        <w:tc>
          <w:tcPr>
            <w:tcW w:w="10173" w:type="dxa"/>
            <w:shd w:val="clear" w:color="auto" w:fill="C9B5EF" w:themeFill="accent2"/>
            <w:vAlign w:val="center"/>
          </w:tcPr>
          <w:p w14:paraId="731840F6" w14:textId="77777777" w:rsidR="00C43D09" w:rsidRPr="00C43D09" w:rsidRDefault="00C43D09" w:rsidP="00C43D09">
            <w:pPr>
              <w:spacing w:after="120"/>
              <w:jc w:val="center"/>
              <w:rPr>
                <w:rFonts w:ascii="Noto Serif Armenian Light" w:hAnsi="Noto Serif Armenian Light" w:cs="Arial"/>
                <w:b/>
                <w:color w:val="ED7D31"/>
                <w:szCs w:val="16"/>
              </w:rPr>
            </w:pPr>
            <w:r w:rsidRPr="00C43D09"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  <w:t>ACCOUNTABILITY</w:t>
            </w:r>
          </w:p>
        </w:tc>
      </w:tr>
      <w:tr w:rsidR="00C43D09" w:rsidRPr="00C43D09" w14:paraId="2012342F" w14:textId="77777777" w:rsidTr="00C166BC">
        <w:tc>
          <w:tcPr>
            <w:tcW w:w="10173" w:type="dxa"/>
            <w:shd w:val="clear" w:color="auto" w:fill="auto"/>
            <w:vAlign w:val="center"/>
          </w:tcPr>
          <w:p w14:paraId="66A62F3D" w14:textId="77777777" w:rsidR="00C43D09" w:rsidRPr="00C43D09" w:rsidRDefault="00C43D09" w:rsidP="00C43D09">
            <w:pPr>
              <w:spacing w:after="120"/>
              <w:rPr>
                <w:rFonts w:ascii="Noto Serif Armenian Light" w:hAnsi="Noto Serif Armenian Light" w:cs="Arial"/>
                <w:sz w:val="21"/>
                <w:szCs w:val="21"/>
              </w:rPr>
            </w:pPr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 xml:space="preserve">CCES utilises </w:t>
            </w:r>
            <w:proofErr w:type="gramStart"/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>a number of</w:t>
            </w:r>
            <w:proofErr w:type="gramEnd"/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 xml:space="preserve"> accountability processes to assess performance relating to the implementation of management system responsibilities.  These processes apply to all personnel and are performance based.</w:t>
            </w:r>
          </w:p>
          <w:p w14:paraId="106F1905" w14:textId="77777777" w:rsidR="00C43D09" w:rsidRPr="00C43D09" w:rsidRDefault="00C43D09" w:rsidP="00C43D09">
            <w:pPr>
              <w:spacing w:after="120"/>
              <w:rPr>
                <w:rFonts w:ascii="Noto Serif Armenian Light" w:hAnsi="Noto Serif Armenian Light" w:cs="Arial"/>
                <w:sz w:val="21"/>
                <w:szCs w:val="21"/>
              </w:rPr>
            </w:pPr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 xml:space="preserve">The key process may </w:t>
            </w:r>
            <w:proofErr w:type="gramStart"/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>include;</w:t>
            </w:r>
            <w:proofErr w:type="gramEnd"/>
          </w:p>
          <w:p w14:paraId="111F90D6" w14:textId="77777777" w:rsidR="00C43D09" w:rsidRPr="00C43D09" w:rsidRDefault="00C43D09" w:rsidP="00C43D09">
            <w:pPr>
              <w:numPr>
                <w:ilvl w:val="0"/>
                <w:numId w:val="2"/>
              </w:numPr>
              <w:spacing w:after="120" w:line="240" w:lineRule="auto"/>
              <w:rPr>
                <w:rFonts w:ascii="Noto Serif Armenian Light" w:hAnsi="Noto Serif Armenian Light" w:cs="Arial"/>
                <w:sz w:val="21"/>
                <w:szCs w:val="21"/>
              </w:rPr>
            </w:pPr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>Supervisory arrangements (in accordance with organisational and site management structures</w:t>
            </w:r>
            <w:proofErr w:type="gramStart"/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>);</w:t>
            </w:r>
            <w:proofErr w:type="gramEnd"/>
          </w:p>
          <w:p w14:paraId="0304282E" w14:textId="77777777" w:rsidR="00C43D09" w:rsidRPr="00C43D09" w:rsidRDefault="00C43D09" w:rsidP="00C43D09">
            <w:pPr>
              <w:numPr>
                <w:ilvl w:val="0"/>
                <w:numId w:val="2"/>
              </w:numPr>
              <w:spacing w:after="120" w:line="240" w:lineRule="auto"/>
              <w:rPr>
                <w:rFonts w:ascii="Noto Serif Armenian Light" w:hAnsi="Noto Serif Armenian Light" w:cs="Arial"/>
                <w:sz w:val="21"/>
                <w:szCs w:val="21"/>
              </w:rPr>
            </w:pPr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>System review and verification activities; and</w:t>
            </w:r>
          </w:p>
          <w:p w14:paraId="5186164C" w14:textId="77777777" w:rsidR="00C43D09" w:rsidRPr="00C43D09" w:rsidRDefault="00C43D09" w:rsidP="00C43D09">
            <w:pPr>
              <w:numPr>
                <w:ilvl w:val="0"/>
                <w:numId w:val="2"/>
              </w:numPr>
              <w:spacing w:after="120" w:line="240" w:lineRule="auto"/>
              <w:rPr>
                <w:rFonts w:ascii="Noto Serif Armenian Light" w:hAnsi="Noto Serif Armenian Light" w:cs="Arial"/>
                <w:szCs w:val="16"/>
              </w:rPr>
            </w:pPr>
            <w:r w:rsidRPr="00C43D09">
              <w:rPr>
                <w:rFonts w:ascii="Noto Serif Armenian Light" w:hAnsi="Noto Serif Armenian Light" w:cs="Arial"/>
                <w:sz w:val="21"/>
                <w:szCs w:val="21"/>
              </w:rPr>
              <w:t>Performance appraisals.</w:t>
            </w:r>
          </w:p>
        </w:tc>
      </w:tr>
    </w:tbl>
    <w:p w14:paraId="659F0937" w14:textId="5A261A62" w:rsidR="00BE0CAA" w:rsidRPr="00BE0CAA" w:rsidRDefault="00BE0CAA" w:rsidP="00BE0CAA">
      <w:pPr>
        <w:rPr>
          <w:rFonts w:ascii="Noto Serif Armenian Light" w:hAnsi="Noto Serif Armenian Light"/>
        </w:rPr>
      </w:pPr>
    </w:p>
    <w:p w14:paraId="3F092001" w14:textId="77777777" w:rsidR="00BE0CAA" w:rsidRPr="00BE0CAA" w:rsidRDefault="00BE0CAA" w:rsidP="00BE0CAA">
      <w:pPr>
        <w:rPr>
          <w:rFonts w:ascii="Noto Serif Armenian Light" w:hAnsi="Noto Serif Armenian Light"/>
        </w:rPr>
      </w:pPr>
    </w:p>
    <w:sectPr w:rsidR="00BE0CAA" w:rsidRPr="00BE0CAA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17FD6ED2" w:rsidR="00197A7D" w:rsidRPr="00BE0CAA" w:rsidRDefault="00C43D09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Responsibility, Authority &amp; Accountability Matrix – Workers (025G)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77777777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Version 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1BFE5954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C43D09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544A3A34" w:rsidR="00197A7D" w:rsidRDefault="00C43D09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January 2021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17FD6ED2" w:rsidR="00197A7D" w:rsidRPr="00BE0CAA" w:rsidRDefault="00C43D09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Responsibility, Authority &amp; Accountability Matrix – Workers (025G)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77777777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Version 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1BFE5954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C43D09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544A3A34" w:rsidR="00197A7D" w:rsidRDefault="00C43D09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January 2021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85485"/>
    <w:multiLevelType w:val="hybridMultilevel"/>
    <w:tmpl w:val="1128B1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916A7"/>
    <w:multiLevelType w:val="hybridMultilevel"/>
    <w:tmpl w:val="53D22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21F61"/>
    <w:multiLevelType w:val="hybridMultilevel"/>
    <w:tmpl w:val="EC94A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09935">
    <w:abstractNumId w:val="1"/>
  </w:num>
  <w:num w:numId="2" w16cid:durableId="1422794750">
    <w:abstractNumId w:val="2"/>
  </w:num>
  <w:num w:numId="3" w16cid:durableId="5231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120BFC"/>
    <w:rsid w:val="00197A7D"/>
    <w:rsid w:val="0035226C"/>
    <w:rsid w:val="005034BA"/>
    <w:rsid w:val="007C2910"/>
    <w:rsid w:val="00BE0CAA"/>
    <w:rsid w:val="00C43D09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2469</Characters>
  <Application>Microsoft Office Word</Application>
  <DocSecurity>4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2</cp:revision>
  <dcterms:created xsi:type="dcterms:W3CDTF">2023-12-12T23:34:00Z</dcterms:created>
  <dcterms:modified xsi:type="dcterms:W3CDTF">2023-12-12T23:34:00Z</dcterms:modified>
</cp:coreProperties>
</file>