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CBF4" w14:textId="06DA2497" w:rsidR="00AA7A78" w:rsidRPr="00EC45F6" w:rsidRDefault="00EC45F6" w:rsidP="00EC45F6">
      <w:pPr>
        <w:jc w:val="center"/>
        <w:rPr>
          <w:b/>
          <w:bCs/>
          <w:color w:val="533E7C" w:themeColor="accent1"/>
          <w:sz w:val="32"/>
          <w:szCs w:val="32"/>
        </w:rPr>
      </w:pPr>
      <w:r w:rsidRPr="00EC45F6">
        <w:rPr>
          <w:b/>
          <w:bCs/>
          <w:color w:val="533E7C" w:themeColor="accent1"/>
          <w:sz w:val="32"/>
          <w:szCs w:val="32"/>
        </w:rPr>
        <w:t>STANDARD OPERATING PROCEDURE</w:t>
      </w:r>
    </w:p>
    <w:tbl>
      <w:tblPr>
        <w:tblpPr w:leftFromText="180" w:rightFromText="180" w:vertAnchor="text" w:horzAnchor="margin" w:tblpY="239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214"/>
        <w:gridCol w:w="1260"/>
        <w:gridCol w:w="1434"/>
        <w:gridCol w:w="40"/>
        <w:gridCol w:w="1377"/>
        <w:gridCol w:w="1418"/>
      </w:tblGrid>
      <w:tr w:rsidR="00EC45F6" w:rsidRPr="00EC45F6" w14:paraId="7583525B" w14:textId="77777777" w:rsidTr="009175BB">
        <w:trPr>
          <w:cantSplit/>
          <w:trHeight w:val="396"/>
        </w:trPr>
        <w:tc>
          <w:tcPr>
            <w:tcW w:w="7330" w:type="dxa"/>
            <w:gridSpan w:val="6"/>
            <w:vMerge w:val="restart"/>
            <w:shd w:val="clear" w:color="auto" w:fill="C9B5EF" w:themeFill="accent2"/>
            <w:vAlign w:val="center"/>
          </w:tcPr>
          <w:p w14:paraId="0B4C261A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b/>
              </w:rPr>
            </w:pPr>
            <w:r w:rsidRPr="00EC45F6">
              <w:rPr>
                <w:rFonts w:ascii="Noto Serif Armenian Light" w:eastAsia="Calibri" w:hAnsi="Noto Serif Armenian Light" w:cs="Arial"/>
                <w:b/>
                <w:sz w:val="32"/>
                <w:szCs w:val="32"/>
              </w:rPr>
              <w:t>Name of Plant / Task</w:t>
            </w:r>
          </w:p>
        </w:tc>
        <w:tc>
          <w:tcPr>
            <w:tcW w:w="1417" w:type="dxa"/>
            <w:gridSpan w:val="2"/>
            <w:shd w:val="clear" w:color="auto" w:fill="C9B5EF" w:themeFill="accent2"/>
            <w:vAlign w:val="center"/>
          </w:tcPr>
          <w:p w14:paraId="035E656D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EC45F6">
              <w:rPr>
                <w:rFonts w:ascii="Noto Serif Armenian Light" w:hAnsi="Noto Serif Armenian Light"/>
                <w:b/>
                <w:sz w:val="18"/>
                <w:szCs w:val="18"/>
              </w:rPr>
              <w:t>SOP Number:</w:t>
            </w:r>
          </w:p>
        </w:tc>
        <w:tc>
          <w:tcPr>
            <w:tcW w:w="1418" w:type="dxa"/>
            <w:shd w:val="clear" w:color="auto" w:fill="C9B5EF" w:themeFill="accent2"/>
            <w:vAlign w:val="center"/>
          </w:tcPr>
          <w:p w14:paraId="5765BFFE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EC45F6">
              <w:rPr>
                <w:rFonts w:ascii="Noto Serif Armenian Light" w:hAnsi="Noto Serif Armenian Light"/>
                <w:b/>
                <w:sz w:val="18"/>
                <w:szCs w:val="18"/>
              </w:rPr>
              <w:t>RA Number:</w:t>
            </w:r>
          </w:p>
        </w:tc>
      </w:tr>
      <w:tr w:rsidR="00EC45F6" w:rsidRPr="00EC45F6" w14:paraId="1EA7D235" w14:textId="77777777" w:rsidTr="009175BB">
        <w:trPr>
          <w:cantSplit/>
          <w:trHeight w:val="396"/>
        </w:trPr>
        <w:tc>
          <w:tcPr>
            <w:tcW w:w="7330" w:type="dxa"/>
            <w:gridSpan w:val="6"/>
            <w:vMerge/>
            <w:shd w:val="clear" w:color="auto" w:fill="C9B5EF" w:themeFill="accent2"/>
            <w:vAlign w:val="center"/>
          </w:tcPr>
          <w:p w14:paraId="49FB5A27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eastAsia="Calibri" w:hAnsi="Noto Serif Armenian Light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AEC" w:themeFill="accent4"/>
            <w:vAlign w:val="center"/>
          </w:tcPr>
          <w:p w14:paraId="4ABE75FD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EC45F6">
              <w:rPr>
                <w:rFonts w:ascii="Noto Serif Armenian Light" w:hAnsi="Noto Serif Armenian Light"/>
                <w:b/>
                <w:sz w:val="18"/>
                <w:szCs w:val="18"/>
              </w:rPr>
              <w:t>XXXSOP</w:t>
            </w:r>
          </w:p>
        </w:tc>
        <w:tc>
          <w:tcPr>
            <w:tcW w:w="1418" w:type="dxa"/>
            <w:shd w:val="clear" w:color="auto" w:fill="FFFAEC" w:themeFill="accent4"/>
            <w:vAlign w:val="center"/>
          </w:tcPr>
          <w:p w14:paraId="07C1535D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EC45F6">
              <w:rPr>
                <w:rFonts w:ascii="Noto Serif Armenian Light" w:hAnsi="Noto Serif Armenian Light"/>
                <w:b/>
                <w:sz w:val="18"/>
                <w:szCs w:val="18"/>
              </w:rPr>
              <w:t>XXXRA</w:t>
            </w:r>
          </w:p>
        </w:tc>
      </w:tr>
      <w:tr w:rsidR="00EC45F6" w:rsidRPr="00EC45F6" w14:paraId="280AAAE4" w14:textId="77777777" w:rsidTr="009175BB">
        <w:trPr>
          <w:cantSplit/>
          <w:trHeight w:val="624"/>
        </w:trPr>
        <w:tc>
          <w:tcPr>
            <w:tcW w:w="10165" w:type="dxa"/>
            <w:gridSpan w:val="9"/>
            <w:shd w:val="clear" w:color="auto" w:fill="533E7C" w:themeFill="accent1"/>
            <w:vAlign w:val="center"/>
          </w:tcPr>
          <w:p w14:paraId="2737F04E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b/>
              </w:rPr>
            </w:pPr>
            <w:r w:rsidRPr="00EC45F6">
              <w:rPr>
                <w:rFonts w:ascii="Noto Serif Armenian Light" w:hAnsi="Noto Serif Armenian Light"/>
                <w:b/>
                <w:color w:val="FFFFFF" w:themeColor="background1"/>
              </w:rPr>
              <w:t>DO NOT use / operate / this equipment or complete the task unless you have been trained.</w:t>
            </w:r>
          </w:p>
        </w:tc>
      </w:tr>
      <w:tr w:rsidR="00EC45F6" w:rsidRPr="00EC45F6" w14:paraId="1A2A9183" w14:textId="77777777" w:rsidTr="009175BB">
        <w:trPr>
          <w:cantSplit/>
          <w:trHeight w:val="624"/>
        </w:trPr>
        <w:tc>
          <w:tcPr>
            <w:tcW w:w="10165" w:type="dxa"/>
            <w:gridSpan w:val="9"/>
            <w:shd w:val="clear" w:color="auto" w:fill="C9B5EF" w:themeFill="accent2"/>
            <w:vAlign w:val="center"/>
          </w:tcPr>
          <w:p w14:paraId="3C4ABC67" w14:textId="77777777" w:rsidR="00EC45F6" w:rsidRPr="00EC45F6" w:rsidRDefault="00EC45F6" w:rsidP="00EC45F6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EC45F6">
              <w:rPr>
                <w:rFonts w:ascii="Noto Serif Armenian Light" w:hAnsi="Noto Serif Armenian Light" w:cs="Arial"/>
                <w:b/>
              </w:rPr>
              <w:t>POTENTIAL</w:t>
            </w:r>
            <w:r w:rsidRPr="00EC45F6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 RISKS:</w:t>
            </w:r>
          </w:p>
        </w:tc>
      </w:tr>
      <w:tr w:rsidR="00EC45F6" w:rsidRPr="00EC45F6" w14:paraId="375B2B3D" w14:textId="77777777" w:rsidTr="009175BB">
        <w:trPr>
          <w:cantSplit/>
          <w:trHeight w:val="1984"/>
        </w:trPr>
        <w:tc>
          <w:tcPr>
            <w:tcW w:w="1474" w:type="dxa"/>
            <w:shd w:val="clear" w:color="auto" w:fill="FFFAEC" w:themeFill="accent4"/>
            <w:vAlign w:val="center"/>
          </w:tcPr>
          <w:p w14:paraId="6E1D1D1D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noProof/>
                <w:sz w:val="20"/>
                <w:szCs w:val="20"/>
              </w:rPr>
            </w:pPr>
            <w:r w:rsidRPr="00EC45F6">
              <w:rPr>
                <w:rFonts w:ascii="Noto Serif Armenian Light" w:hAnsi="Noto Serif Armenian Light"/>
                <w:noProof/>
                <w:sz w:val="20"/>
                <w:szCs w:val="20"/>
              </w:rPr>
              <w:t>Pictogram of PPE OR cautions required</w:t>
            </w:r>
          </w:p>
        </w:tc>
        <w:tc>
          <w:tcPr>
            <w:tcW w:w="1474" w:type="dxa"/>
            <w:shd w:val="clear" w:color="auto" w:fill="FFFAEC" w:themeFill="accent4"/>
            <w:vAlign w:val="center"/>
          </w:tcPr>
          <w:p w14:paraId="6DF2C929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noProof/>
                <w:sz w:val="20"/>
                <w:szCs w:val="20"/>
              </w:rPr>
            </w:pPr>
            <w:r w:rsidRPr="00EC45F6">
              <w:rPr>
                <w:rFonts w:ascii="Noto Serif Armenian Light" w:hAnsi="Noto Serif Armenian Light"/>
                <w:noProof/>
                <w:sz w:val="20"/>
                <w:szCs w:val="20"/>
              </w:rPr>
              <w:t>Pictogram of PPE OR cautions required</w:t>
            </w:r>
          </w:p>
        </w:tc>
        <w:tc>
          <w:tcPr>
            <w:tcW w:w="1474" w:type="dxa"/>
            <w:shd w:val="clear" w:color="auto" w:fill="FFFAEC" w:themeFill="accent4"/>
            <w:vAlign w:val="center"/>
          </w:tcPr>
          <w:p w14:paraId="161C0BD4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noProof/>
                <w:sz w:val="20"/>
                <w:szCs w:val="20"/>
              </w:rPr>
            </w:pPr>
            <w:r w:rsidRPr="00EC45F6">
              <w:rPr>
                <w:rFonts w:ascii="Noto Serif Armenian Light" w:hAnsi="Noto Serif Armenian Light"/>
                <w:noProof/>
                <w:sz w:val="20"/>
                <w:szCs w:val="20"/>
              </w:rPr>
              <w:t>Pictogram of PPE OR cautions required</w:t>
            </w:r>
          </w:p>
        </w:tc>
        <w:tc>
          <w:tcPr>
            <w:tcW w:w="1474" w:type="dxa"/>
            <w:gridSpan w:val="2"/>
            <w:shd w:val="clear" w:color="auto" w:fill="FFFAEC" w:themeFill="accent4"/>
            <w:vAlign w:val="center"/>
          </w:tcPr>
          <w:p w14:paraId="4CFE8713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noProof/>
                <w:sz w:val="20"/>
                <w:szCs w:val="20"/>
              </w:rPr>
            </w:pPr>
            <w:r w:rsidRPr="00EC45F6">
              <w:rPr>
                <w:rFonts w:ascii="Noto Serif Armenian Light" w:hAnsi="Noto Serif Armenian Light"/>
                <w:noProof/>
                <w:sz w:val="20"/>
                <w:szCs w:val="20"/>
              </w:rPr>
              <w:t>Pictogram of PPE OR cautions required</w:t>
            </w:r>
          </w:p>
        </w:tc>
        <w:tc>
          <w:tcPr>
            <w:tcW w:w="1474" w:type="dxa"/>
            <w:gridSpan w:val="2"/>
            <w:shd w:val="clear" w:color="auto" w:fill="FFFAEC" w:themeFill="accent4"/>
            <w:vAlign w:val="center"/>
          </w:tcPr>
          <w:p w14:paraId="5B90D38B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noProof/>
                <w:sz w:val="20"/>
                <w:szCs w:val="20"/>
              </w:rPr>
            </w:pPr>
            <w:r w:rsidRPr="00EC45F6">
              <w:rPr>
                <w:rFonts w:ascii="Noto Serif Armenian Light" w:hAnsi="Noto Serif Armenian Light"/>
                <w:noProof/>
                <w:sz w:val="20"/>
                <w:szCs w:val="20"/>
              </w:rPr>
              <w:t>Pictogram of PPE OR cautions required</w:t>
            </w:r>
          </w:p>
        </w:tc>
        <w:tc>
          <w:tcPr>
            <w:tcW w:w="2795" w:type="dxa"/>
            <w:gridSpan w:val="2"/>
            <w:shd w:val="clear" w:color="auto" w:fill="FFFAEC" w:themeFill="accent4"/>
            <w:vAlign w:val="center"/>
          </w:tcPr>
          <w:p w14:paraId="5E106E0F" w14:textId="77777777" w:rsidR="00EC45F6" w:rsidRPr="00EC45F6" w:rsidRDefault="00EC45F6" w:rsidP="00EC45F6">
            <w:pPr>
              <w:spacing w:after="0"/>
              <w:jc w:val="center"/>
              <w:rPr>
                <w:rFonts w:ascii="Noto Serif Armenian Light" w:hAnsi="Noto Serif Armenian Light"/>
                <w:noProof/>
                <w:sz w:val="20"/>
                <w:szCs w:val="20"/>
              </w:rPr>
            </w:pPr>
            <w:r w:rsidRPr="00EC45F6">
              <w:rPr>
                <w:rFonts w:ascii="Noto Serif Armenian Light" w:hAnsi="Noto Serif Armenian Light"/>
                <w:sz w:val="20"/>
                <w:szCs w:val="20"/>
              </w:rPr>
              <w:t>Put in Picture of equipment / plant</w:t>
            </w:r>
          </w:p>
        </w:tc>
      </w:tr>
      <w:tr w:rsidR="00EC45F6" w:rsidRPr="00EC45F6" w14:paraId="1B6C5CC0" w14:textId="77777777" w:rsidTr="009175BB">
        <w:trPr>
          <w:cantSplit/>
          <w:trHeight w:val="2207"/>
        </w:trPr>
        <w:tc>
          <w:tcPr>
            <w:tcW w:w="10165" w:type="dxa"/>
            <w:gridSpan w:val="9"/>
          </w:tcPr>
          <w:p w14:paraId="3F968B51" w14:textId="77777777" w:rsidR="00EC45F6" w:rsidRPr="00EC45F6" w:rsidRDefault="00EC45F6" w:rsidP="00EC45F6">
            <w:pPr>
              <w:pStyle w:val="Heading1"/>
              <w:spacing w:after="0"/>
              <w:rPr>
                <w:rFonts w:ascii="Noto Serif Armenian Light" w:eastAsia="Arial" w:hAnsi="Noto Serif Armenian Light" w:cs="Arial"/>
                <w:bCs w:val="0"/>
                <w:color w:val="auto"/>
                <w:kern w:val="0"/>
                <w:sz w:val="22"/>
                <w:szCs w:val="22"/>
              </w:rPr>
            </w:pPr>
            <w:r w:rsidRPr="00EC45F6">
              <w:rPr>
                <w:rFonts w:ascii="Noto Serif Armenian Light" w:eastAsia="Arial" w:hAnsi="Noto Serif Armenian Light" w:cs="Arial"/>
                <w:bCs w:val="0"/>
                <w:color w:val="auto"/>
                <w:kern w:val="0"/>
                <w:sz w:val="22"/>
                <w:szCs w:val="22"/>
              </w:rPr>
              <w:t xml:space="preserve">PRE-OPERATIONAL SAFETY </w:t>
            </w:r>
          </w:p>
          <w:p w14:paraId="0D6B7932" w14:textId="77777777" w:rsidR="00EC45F6" w:rsidRPr="00EC45F6" w:rsidRDefault="00EC45F6" w:rsidP="00EC45F6">
            <w:pPr>
              <w:numPr>
                <w:ilvl w:val="0"/>
                <w:numId w:val="5"/>
              </w:numPr>
              <w:spacing w:after="0" w:line="240" w:lineRule="auto"/>
              <w:rPr>
                <w:rFonts w:ascii="Noto Serif Armenian Light" w:eastAsia="Arial" w:hAnsi="Noto Serif Armenian Light"/>
              </w:rPr>
            </w:pPr>
          </w:p>
          <w:p w14:paraId="6F1533AD" w14:textId="77777777" w:rsidR="00EC45F6" w:rsidRPr="00EC45F6" w:rsidRDefault="00EC45F6" w:rsidP="00EC45F6">
            <w:pPr>
              <w:tabs>
                <w:tab w:val="left" w:pos="426"/>
                <w:tab w:val="center" w:pos="4153"/>
                <w:tab w:val="right" w:pos="8306"/>
              </w:tabs>
              <w:snapToGrid w:val="0"/>
              <w:spacing w:after="0"/>
              <w:rPr>
                <w:rFonts w:ascii="Noto Serif Armenian Light" w:hAnsi="Noto Serif Armenian Light" w:cs="Arial"/>
                <w:iCs/>
              </w:rPr>
            </w:pPr>
          </w:p>
        </w:tc>
      </w:tr>
      <w:tr w:rsidR="00EC45F6" w:rsidRPr="00EC45F6" w14:paraId="594AA48D" w14:textId="77777777" w:rsidTr="009175BB">
        <w:trPr>
          <w:cantSplit/>
          <w:trHeight w:val="2205"/>
        </w:trPr>
        <w:tc>
          <w:tcPr>
            <w:tcW w:w="10165" w:type="dxa"/>
            <w:gridSpan w:val="9"/>
          </w:tcPr>
          <w:p w14:paraId="272EF09E" w14:textId="77777777" w:rsidR="00EC45F6" w:rsidRPr="00EC45F6" w:rsidRDefault="00EC45F6" w:rsidP="00EC45F6">
            <w:pPr>
              <w:pStyle w:val="Heading1"/>
              <w:spacing w:after="0"/>
              <w:rPr>
                <w:rFonts w:ascii="Noto Serif Armenian Light" w:eastAsia="Arial" w:hAnsi="Noto Serif Armenian Light" w:cs="Arial"/>
                <w:bCs w:val="0"/>
                <w:color w:val="auto"/>
                <w:kern w:val="0"/>
                <w:sz w:val="22"/>
                <w:szCs w:val="22"/>
              </w:rPr>
            </w:pPr>
            <w:r w:rsidRPr="00EC45F6">
              <w:rPr>
                <w:rFonts w:ascii="Noto Serif Armenian Light" w:eastAsia="Arial" w:hAnsi="Noto Serif Armenian Light" w:cs="Arial"/>
                <w:bCs w:val="0"/>
                <w:color w:val="auto"/>
                <w:kern w:val="0"/>
                <w:sz w:val="22"/>
                <w:szCs w:val="22"/>
              </w:rPr>
              <w:t>OPERATIONAL SAFETY PRECAUTIONS</w:t>
            </w:r>
          </w:p>
          <w:p w14:paraId="4ED1A016" w14:textId="77777777" w:rsidR="00EC45F6" w:rsidRPr="00EC45F6" w:rsidRDefault="00EC45F6" w:rsidP="00EC45F6">
            <w:pPr>
              <w:numPr>
                <w:ilvl w:val="0"/>
                <w:numId w:val="6"/>
              </w:numPr>
              <w:spacing w:after="0" w:line="240" w:lineRule="auto"/>
              <w:rPr>
                <w:rFonts w:ascii="Noto Serif Armenian Light" w:eastAsia="Arial" w:hAnsi="Noto Serif Armenian Light"/>
              </w:rPr>
            </w:pPr>
          </w:p>
          <w:p w14:paraId="5AF738CB" w14:textId="77777777" w:rsidR="00EC45F6" w:rsidRPr="00EC45F6" w:rsidRDefault="00EC45F6" w:rsidP="00EC45F6">
            <w:pPr>
              <w:tabs>
                <w:tab w:val="left" w:pos="426"/>
                <w:tab w:val="center" w:pos="4153"/>
                <w:tab w:val="right" w:pos="8306"/>
              </w:tabs>
              <w:snapToGrid w:val="0"/>
              <w:spacing w:after="0"/>
              <w:rPr>
                <w:rFonts w:ascii="Noto Serif Armenian Light" w:hAnsi="Noto Serif Armenian Light" w:cs="Arial"/>
                <w:iCs/>
              </w:rPr>
            </w:pPr>
          </w:p>
        </w:tc>
      </w:tr>
      <w:tr w:rsidR="00EC45F6" w:rsidRPr="00EC45F6" w14:paraId="01D48D7B" w14:textId="77777777" w:rsidTr="009175BB">
        <w:trPr>
          <w:cantSplit/>
          <w:trHeight w:val="2205"/>
        </w:trPr>
        <w:tc>
          <w:tcPr>
            <w:tcW w:w="10165" w:type="dxa"/>
            <w:gridSpan w:val="9"/>
          </w:tcPr>
          <w:p w14:paraId="1F97A924" w14:textId="77777777" w:rsidR="00EC45F6" w:rsidRPr="00EC45F6" w:rsidRDefault="00EC45F6" w:rsidP="00EC45F6">
            <w:pPr>
              <w:pStyle w:val="Heading1"/>
              <w:spacing w:after="0"/>
              <w:rPr>
                <w:rFonts w:ascii="Noto Serif Armenian Light" w:eastAsia="Arial" w:hAnsi="Noto Serif Armenian Light" w:cs="Arial"/>
                <w:bCs w:val="0"/>
                <w:color w:val="auto"/>
                <w:kern w:val="0"/>
                <w:sz w:val="22"/>
                <w:szCs w:val="22"/>
              </w:rPr>
            </w:pPr>
            <w:r w:rsidRPr="00EC45F6">
              <w:rPr>
                <w:rFonts w:ascii="Noto Serif Armenian Light" w:eastAsia="Arial" w:hAnsi="Noto Serif Armenian Light" w:cs="Arial"/>
                <w:bCs w:val="0"/>
                <w:color w:val="auto"/>
                <w:kern w:val="0"/>
                <w:sz w:val="22"/>
                <w:szCs w:val="22"/>
              </w:rPr>
              <w:t>HOUSEKEEPING</w:t>
            </w:r>
          </w:p>
          <w:p w14:paraId="18407D7B" w14:textId="77777777" w:rsidR="00EC45F6" w:rsidRPr="00EC45F6" w:rsidRDefault="00EC45F6" w:rsidP="00EC45F6">
            <w:pPr>
              <w:numPr>
                <w:ilvl w:val="0"/>
                <w:numId w:val="7"/>
              </w:numPr>
              <w:spacing w:after="0" w:line="240" w:lineRule="auto"/>
              <w:rPr>
                <w:rFonts w:ascii="Noto Serif Armenian Light" w:eastAsia="Arial" w:hAnsi="Noto Serif Armenian Light"/>
              </w:rPr>
            </w:pPr>
          </w:p>
          <w:p w14:paraId="7D1AA262" w14:textId="77777777" w:rsidR="00EC45F6" w:rsidRPr="00EC45F6" w:rsidRDefault="00EC45F6" w:rsidP="00EC45F6">
            <w:pPr>
              <w:tabs>
                <w:tab w:val="left" w:pos="426"/>
                <w:tab w:val="center" w:pos="4153"/>
                <w:tab w:val="right" w:pos="8306"/>
              </w:tabs>
              <w:snapToGrid w:val="0"/>
              <w:spacing w:after="0"/>
              <w:rPr>
                <w:rFonts w:ascii="Noto Serif Armenian Light" w:hAnsi="Noto Serif Armenian Light" w:cs="Arial"/>
                <w:iCs/>
              </w:rPr>
            </w:pPr>
          </w:p>
        </w:tc>
      </w:tr>
      <w:tr w:rsidR="00EC45F6" w:rsidRPr="00EC45F6" w14:paraId="49624D90" w14:textId="77777777" w:rsidTr="009175BB">
        <w:trPr>
          <w:cantSplit/>
          <w:trHeight w:val="403"/>
        </w:trPr>
        <w:tc>
          <w:tcPr>
            <w:tcW w:w="4636" w:type="dxa"/>
            <w:gridSpan w:val="4"/>
            <w:shd w:val="clear" w:color="auto" w:fill="FFFAEC" w:themeFill="accent4"/>
            <w:vAlign w:val="center"/>
          </w:tcPr>
          <w:p w14:paraId="52444F2C" w14:textId="77777777" w:rsidR="00EC45F6" w:rsidRPr="00EC45F6" w:rsidRDefault="00EC45F6" w:rsidP="00EC45F6">
            <w:pPr>
              <w:pStyle w:val="OHSAdvtext"/>
              <w:spacing w:before="0"/>
              <w:rPr>
                <w:rFonts w:ascii="Noto Serif Armenian Light" w:hAnsi="Noto Serif Armenian Light" w:cs="Arial"/>
                <w:b/>
              </w:rPr>
            </w:pPr>
            <w:r w:rsidRPr="00EC45F6">
              <w:rPr>
                <w:rFonts w:ascii="Noto Serif Armenian Light" w:hAnsi="Noto Serif Armenian Light" w:cs="Arial"/>
                <w:b/>
              </w:rPr>
              <w:t>Date of last review:</w:t>
            </w:r>
          </w:p>
        </w:tc>
        <w:tc>
          <w:tcPr>
            <w:tcW w:w="5529" w:type="dxa"/>
            <w:gridSpan w:val="5"/>
            <w:shd w:val="clear" w:color="auto" w:fill="FFFAEC" w:themeFill="accent4"/>
            <w:vAlign w:val="center"/>
          </w:tcPr>
          <w:p w14:paraId="219E1A43" w14:textId="77777777" w:rsidR="00EC45F6" w:rsidRPr="00EC45F6" w:rsidRDefault="00EC45F6" w:rsidP="00EC45F6">
            <w:pPr>
              <w:pStyle w:val="OHSAdvtext"/>
              <w:spacing w:before="0"/>
              <w:rPr>
                <w:rFonts w:ascii="Noto Serif Armenian Light" w:hAnsi="Noto Serif Armenian Light" w:cs="Arial"/>
                <w:b/>
              </w:rPr>
            </w:pPr>
            <w:r w:rsidRPr="00EC45F6">
              <w:rPr>
                <w:rFonts w:ascii="Noto Serif Armenian Light" w:hAnsi="Noto Serif Armenian Light" w:cs="Arial"/>
                <w:b/>
              </w:rPr>
              <w:t>Signature:</w:t>
            </w:r>
          </w:p>
        </w:tc>
      </w:tr>
    </w:tbl>
    <w:p w14:paraId="3BB034A6" w14:textId="77777777" w:rsidR="009B25E3" w:rsidRPr="00AA7A78" w:rsidRDefault="009B25E3" w:rsidP="00AA7A78">
      <w:pPr>
        <w:jc w:val="both"/>
        <w:rPr>
          <w:rFonts w:ascii="Noto Serif Armenian Light" w:hAnsi="Noto Serif Armenian Light"/>
        </w:rPr>
      </w:pPr>
    </w:p>
    <w:sectPr w:rsidR="009B25E3" w:rsidRPr="00AA7A78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39D4CB98" w:rsidR="00B308FC" w:rsidRPr="00BE0CAA" w:rsidRDefault="00EC45F6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Standard Operating Procedure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066F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37A81352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C45F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0141EAA0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C45F6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4B11B47F" w:rsidR="00B308FC" w:rsidRDefault="00EC45F6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39D4CB98" w:rsidR="00B308FC" w:rsidRPr="00BE0CAA" w:rsidRDefault="00EC45F6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Standard Operating Procedure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066F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37A81352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C45F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0141EAA0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C45F6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4B11B47F" w:rsidR="00B308FC" w:rsidRDefault="00EC45F6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2E7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7557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5" w15:restartNumberingAfterBreak="0">
    <w:nsid w:val="6A9D5AF0"/>
    <w:multiLevelType w:val="hybridMultilevel"/>
    <w:tmpl w:val="F4A2848E"/>
    <w:lvl w:ilvl="0" w:tplc="F33A8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B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6E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A5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44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EE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C5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251D8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024286">
    <w:abstractNumId w:val="2"/>
  </w:num>
  <w:num w:numId="2" w16cid:durableId="1066801438">
    <w:abstractNumId w:val="4"/>
  </w:num>
  <w:num w:numId="3" w16cid:durableId="55057329">
    <w:abstractNumId w:val="1"/>
  </w:num>
  <w:num w:numId="4" w16cid:durableId="891581603">
    <w:abstractNumId w:val="5"/>
  </w:num>
  <w:num w:numId="5" w16cid:durableId="2115903123">
    <w:abstractNumId w:val="3"/>
  </w:num>
  <w:num w:numId="6" w16cid:durableId="759328569">
    <w:abstractNumId w:val="6"/>
  </w:num>
  <w:num w:numId="7" w16cid:durableId="4896852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5034BA"/>
    <w:rsid w:val="005D3974"/>
    <w:rsid w:val="0061632A"/>
    <w:rsid w:val="007B77D6"/>
    <w:rsid w:val="007C2910"/>
    <w:rsid w:val="007E53AA"/>
    <w:rsid w:val="00881786"/>
    <w:rsid w:val="008C68CF"/>
    <w:rsid w:val="009175BB"/>
    <w:rsid w:val="009214F7"/>
    <w:rsid w:val="009B25E3"/>
    <w:rsid w:val="00AA7A78"/>
    <w:rsid w:val="00AD4256"/>
    <w:rsid w:val="00B308FC"/>
    <w:rsid w:val="00BE0CAA"/>
    <w:rsid w:val="00C02B8E"/>
    <w:rsid w:val="00CB4075"/>
    <w:rsid w:val="00E506C0"/>
    <w:rsid w:val="00EB2094"/>
    <w:rsid w:val="00EC45F6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OHSAdvtext">
    <w:name w:val="OHS Adv text"/>
    <w:basedOn w:val="Normal"/>
    <w:rsid w:val="00EC45F6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2024-01-22T00:37:00Z</dcterms:created>
  <dcterms:modified xsi:type="dcterms:W3CDTF">2024-01-22T00:37:00Z</dcterms:modified>
</cp:coreProperties>
</file>